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to__________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001-38790</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83-1482060</w:t>
            </w:r>
          </w:p>
        </w:tc>
      </w:tr>
      <w:tr>
        <w:trPr>
          <w:trHeight w:val="257"/>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64"/>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111 W. 19th Street, 8th Floor</w:t>
            </w:r>
          </w:p>
        </w:tc>
        <w:tc>
          <w:tcPr>
            <w:tcW w:w="3700" w:type="dxa"/>
            <w:vAlign w:val="bottom"/>
          </w:tcPr>
          <w:p>
            <w:pPr>
              <w:spacing w:after="0"/>
              <w:rPr>
                <w:sz w:val="24"/>
                <w:szCs w:val="24"/>
                <w:color w:val="auto"/>
              </w:rPr>
            </w:pPr>
          </w:p>
        </w:tc>
      </w:tr>
      <w:tr>
        <w:trPr>
          <w:trHeight w:val="265"/>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10011</w:t>
            </w:r>
          </w:p>
        </w:tc>
      </w:tr>
      <w:tr>
        <w:trPr>
          <w:trHeight w:val="243"/>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268-7400</w:t>
      </w:r>
    </w:p>
    <w:p>
      <w:pPr>
        <w:spacing w:after="0" w:line="1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0" w:right="339" w:bottom="1440" w:gutter="0" w:footer="0" w:header="0"/>
        </w:sectPr>
      </w:pPr>
    </w:p>
    <w:p>
      <w:pPr>
        <w:spacing w:after="0" w:line="8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ind w:left="7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20" w:space="720"/>
            <w:col w:w="2200"/>
          </w:cols>
          <w:pgMar w:left="320" w:top="290" w:right="339" w:bottom="1440" w:gutter="0" w:footer="0" w:header="0"/>
          <w:type w:val="continuous"/>
        </w:sectPr>
      </w:pPr>
    </w:p>
    <w:p>
      <w:pPr>
        <w:spacing w:after="0" w:line="31"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7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 registrant had 285,634,650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8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GLOSSARY OF TERMS</w:t>
            </w:r>
          </w:p>
        </w:tc>
        <w:tc>
          <w:tcPr>
            <w:tcW w:w="18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ii</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CAUTIONARY STATEMENT ON FORWARD-LOOKING STATEMENTS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iv</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8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9"/>
              </w:rPr>
              <w:t>Item 1A.</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commonly used in the liquefied natural gas industry, to the extent applicable and as used in this Quarterly Report on Form 10-Q (“Quarterly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the terms listed below have the following meanings:</w:t>
      </w:r>
    </w:p>
    <w:p>
      <w:pPr>
        <w:spacing w:after="0" w:line="2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ADO</w:t>
      </w:r>
      <w:r>
        <w:rPr>
          <w:sz w:val="20"/>
          <w:szCs w:val="20"/>
          <w:color w:val="auto"/>
        </w:rPr>
        <w:tab/>
      </w:r>
      <w:r>
        <w:rPr>
          <w:rFonts w:ascii="Times New Roman" w:cs="Times New Roman" w:eastAsia="Times New Roman" w:hAnsi="Times New Roman"/>
          <w:sz w:val="18"/>
          <w:szCs w:val="18"/>
          <w:color w:val="auto"/>
        </w:rPr>
        <w:t>automotive diesel oil</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Bcf/yr</w:t>
      </w:r>
      <w:r>
        <w:rPr>
          <w:sz w:val="20"/>
          <w:szCs w:val="20"/>
          <w:color w:val="auto"/>
        </w:rPr>
        <w:tab/>
      </w:r>
      <w:r>
        <w:rPr>
          <w:rFonts w:ascii="Times New Roman" w:cs="Times New Roman" w:eastAsia="Times New Roman" w:hAnsi="Times New Roman"/>
          <w:sz w:val="18"/>
          <w:szCs w:val="18"/>
          <w:color w:val="auto"/>
        </w:rPr>
        <w:t>billion cubic feet per year</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7"/>
          <w:szCs w:val="17"/>
          <w:color w:val="auto"/>
        </w:rPr>
        <w:t>Btu</w:t>
      </w:r>
      <w:r>
        <w:rPr>
          <w:sz w:val="20"/>
          <w:szCs w:val="20"/>
          <w:color w:val="auto"/>
        </w:rPr>
        <w:tab/>
      </w:r>
      <w:r>
        <w:rPr>
          <w:rFonts w:ascii="Times New Roman" w:cs="Times New Roman" w:eastAsia="Times New Roman" w:hAnsi="Times New Roman"/>
          <w:sz w:val="17"/>
          <w:szCs w:val="17"/>
          <w:color w:val="auto"/>
        </w:rPr>
        <w:t>the amount of heat required to raise the temperature of one avoirdupois pound of pure water from 59 degrees Fahrenheit to 60 degrees</w:t>
      </w:r>
    </w:p>
    <w:p>
      <w:pPr>
        <w:spacing w:after="0" w:line="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Fahrenheit at an absolute pressure of 14.696 pounds per square inch gage</w:t>
      </w:r>
    </w:p>
    <w:p>
      <w:pPr>
        <w:spacing w:after="0" w:line="20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CAA</w:t>
      </w:r>
      <w:r>
        <w:rPr>
          <w:sz w:val="20"/>
          <w:szCs w:val="20"/>
          <w:color w:val="auto"/>
        </w:rPr>
        <w:tab/>
      </w:r>
      <w:r>
        <w:rPr>
          <w:rFonts w:ascii="Times New Roman" w:cs="Times New Roman" w:eastAsia="Times New Roman" w:hAnsi="Times New Roman"/>
          <w:sz w:val="18"/>
          <w:szCs w:val="18"/>
          <w:color w:val="auto"/>
        </w:rPr>
        <w:t>Clean Air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CERCLA</w:t>
      </w:r>
      <w:r>
        <w:rPr>
          <w:sz w:val="20"/>
          <w:szCs w:val="20"/>
          <w:color w:val="auto"/>
        </w:rPr>
        <w:tab/>
      </w:r>
      <w:r>
        <w:rPr>
          <w:rFonts w:ascii="Times New Roman" w:cs="Times New Roman" w:eastAsia="Times New Roman" w:hAnsi="Times New Roman"/>
          <w:sz w:val="18"/>
          <w:szCs w:val="18"/>
          <w:color w:val="auto"/>
        </w:rPr>
        <w:t>Comprehensive Environmental Response, Compensation and Liability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CWA</w:t>
      </w:r>
      <w:r>
        <w:rPr>
          <w:sz w:val="20"/>
          <w:szCs w:val="20"/>
          <w:color w:val="auto"/>
        </w:rPr>
        <w:tab/>
      </w:r>
      <w:r>
        <w:rPr>
          <w:rFonts w:ascii="Times New Roman" w:cs="Times New Roman" w:eastAsia="Times New Roman" w:hAnsi="Times New Roman"/>
          <w:sz w:val="18"/>
          <w:szCs w:val="18"/>
          <w:color w:val="auto"/>
        </w:rPr>
        <w:t>Clean Water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DOE</w:t>
      </w:r>
      <w:r>
        <w:rPr>
          <w:sz w:val="20"/>
          <w:szCs w:val="20"/>
          <w:color w:val="auto"/>
        </w:rPr>
        <w:tab/>
      </w:r>
      <w:r>
        <w:rPr>
          <w:rFonts w:ascii="Times New Roman" w:cs="Times New Roman" w:eastAsia="Times New Roman" w:hAnsi="Times New Roman"/>
          <w:sz w:val="18"/>
          <w:szCs w:val="18"/>
          <w:color w:val="auto"/>
        </w:rPr>
        <w:t>U.S. Department of Energy</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DOT</w:t>
      </w:r>
      <w:r>
        <w:rPr>
          <w:sz w:val="20"/>
          <w:szCs w:val="20"/>
          <w:color w:val="auto"/>
        </w:rPr>
        <w:tab/>
      </w:r>
      <w:r>
        <w:rPr>
          <w:rFonts w:ascii="Times New Roman" w:cs="Times New Roman" w:eastAsia="Times New Roman" w:hAnsi="Times New Roman"/>
          <w:sz w:val="18"/>
          <w:szCs w:val="18"/>
          <w:color w:val="auto"/>
        </w:rPr>
        <w:t>U.S. Department of Transportation</w:t>
      </w:r>
    </w:p>
    <w:p>
      <w:pPr>
        <w:spacing w:after="0" w:line="293"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EPA</w:t>
      </w:r>
      <w:r>
        <w:rPr>
          <w:sz w:val="20"/>
          <w:szCs w:val="20"/>
          <w:color w:val="auto"/>
        </w:rPr>
        <w:tab/>
      </w:r>
      <w:r>
        <w:rPr>
          <w:rFonts w:ascii="Times New Roman" w:cs="Times New Roman" w:eastAsia="Times New Roman" w:hAnsi="Times New Roman"/>
          <w:sz w:val="18"/>
          <w:szCs w:val="18"/>
          <w:color w:val="auto"/>
        </w:rPr>
        <w:t>U.S. Environmental Protection Agency</w:t>
      </w:r>
    </w:p>
    <w:p>
      <w:pPr>
        <w:spacing w:after="0" w:line="293"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FTA countries</w:t>
      </w:r>
      <w:r>
        <w:rPr>
          <w:sz w:val="20"/>
          <w:szCs w:val="20"/>
          <w:color w:val="auto"/>
        </w:rPr>
        <w:tab/>
      </w:r>
      <w:r>
        <w:rPr>
          <w:rFonts w:ascii="Times New Roman" w:cs="Times New Roman" w:eastAsia="Times New Roman" w:hAnsi="Times New Roman"/>
          <w:sz w:val="17"/>
          <w:szCs w:val="17"/>
          <w:color w:val="auto"/>
        </w:rPr>
        <w:t>countries with which the United States has a free trade agreement providing for national treatment for trade in natural gas</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GAAP</w:t>
      </w:r>
      <w:r>
        <w:rPr>
          <w:sz w:val="20"/>
          <w:szCs w:val="20"/>
          <w:color w:val="auto"/>
        </w:rPr>
        <w:tab/>
      </w:r>
      <w:r>
        <w:rPr>
          <w:rFonts w:ascii="Times New Roman" w:cs="Times New Roman" w:eastAsia="Times New Roman" w:hAnsi="Times New Roman"/>
          <w:sz w:val="18"/>
          <w:szCs w:val="18"/>
          <w:color w:val="auto"/>
        </w:rPr>
        <w:t>generally accepted accounting principles in the United States</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GHG</w:t>
      </w:r>
      <w:r>
        <w:rPr>
          <w:sz w:val="20"/>
          <w:szCs w:val="20"/>
          <w:color w:val="auto"/>
        </w:rPr>
        <w:tab/>
      </w:r>
      <w:r>
        <w:rPr>
          <w:rFonts w:ascii="Times New Roman" w:cs="Times New Roman" w:eastAsia="Times New Roman" w:hAnsi="Times New Roman"/>
          <w:sz w:val="18"/>
          <w:szCs w:val="18"/>
          <w:color w:val="auto"/>
        </w:rPr>
        <w:t>greenhouse gases</w:t>
      </w:r>
    </w:p>
    <w:p>
      <w:pPr>
        <w:spacing w:after="0" w:line="293"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GW</w:t>
      </w:r>
      <w:r>
        <w:rPr>
          <w:sz w:val="20"/>
          <w:szCs w:val="20"/>
          <w:color w:val="auto"/>
        </w:rPr>
        <w:tab/>
      </w:r>
      <w:r>
        <w:rPr>
          <w:rFonts w:ascii="Times New Roman" w:cs="Times New Roman" w:eastAsia="Times New Roman" w:hAnsi="Times New Roman"/>
          <w:sz w:val="18"/>
          <w:szCs w:val="18"/>
          <w:color w:val="auto"/>
        </w:rPr>
        <w:t>gigawatt</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GSA</w:t>
      </w:r>
      <w:r>
        <w:rPr>
          <w:sz w:val="20"/>
          <w:szCs w:val="20"/>
          <w:color w:val="auto"/>
        </w:rPr>
        <w:tab/>
      </w:r>
      <w:r>
        <w:rPr>
          <w:rFonts w:ascii="Times New Roman" w:cs="Times New Roman" w:eastAsia="Times New Roman" w:hAnsi="Times New Roman"/>
          <w:sz w:val="18"/>
          <w:szCs w:val="18"/>
          <w:color w:val="auto"/>
        </w:rPr>
        <w:t>gas sales agreement</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Henry Hub</w:t>
      </w:r>
      <w:r>
        <w:rPr>
          <w:sz w:val="20"/>
          <w:szCs w:val="20"/>
          <w:color w:val="auto"/>
        </w:rPr>
        <w:tab/>
      </w:r>
      <w:r>
        <w:rPr>
          <w:rFonts w:ascii="Times New Roman" w:cs="Times New Roman" w:eastAsia="Times New Roman" w:hAnsi="Times New Roman"/>
          <w:sz w:val="17"/>
          <w:szCs w:val="17"/>
          <w:color w:val="auto"/>
        </w:rPr>
        <w:t>a natural gas pipeline located in Erath, Louisiana that serves as the official delivery location for futures contracts on the New York</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Mercantile Exchange</w:t>
      </w:r>
    </w:p>
    <w:p>
      <w:pPr>
        <w:spacing w:after="0" w:line="20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ISO container</w:t>
      </w:r>
      <w:r>
        <w:rPr>
          <w:sz w:val="20"/>
          <w:szCs w:val="20"/>
          <w:color w:val="auto"/>
        </w:rPr>
        <w:tab/>
      </w:r>
      <w:r>
        <w:rPr>
          <w:rFonts w:ascii="Times New Roman" w:cs="Times New Roman" w:eastAsia="Times New Roman" w:hAnsi="Times New Roman"/>
          <w:sz w:val="17"/>
          <w:szCs w:val="17"/>
          <w:color w:val="auto"/>
        </w:rPr>
        <w:t>International Organization of Standardization, an intermodal container</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LNG</w:t>
      </w:r>
      <w:r>
        <w:rPr>
          <w:sz w:val="20"/>
          <w:szCs w:val="20"/>
          <w:color w:val="auto"/>
        </w:rPr>
        <w:tab/>
      </w:r>
      <w:r>
        <w:rPr>
          <w:rFonts w:ascii="Times New Roman" w:cs="Times New Roman" w:eastAsia="Times New Roman" w:hAnsi="Times New Roman"/>
          <w:sz w:val="18"/>
          <w:szCs w:val="18"/>
          <w:color w:val="auto"/>
        </w:rPr>
        <w:t>natural gas in its liquid state at or below its boiling point at or near atmospheric pressure</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MMBtu</w:t>
      </w:r>
      <w:r>
        <w:rPr>
          <w:sz w:val="20"/>
          <w:szCs w:val="20"/>
          <w:color w:val="auto"/>
        </w:rPr>
        <w:tab/>
      </w:r>
      <w:r>
        <w:rPr>
          <w:rFonts w:ascii="Times New Roman" w:cs="Times New Roman" w:eastAsia="Times New Roman" w:hAnsi="Times New Roman"/>
          <w:sz w:val="18"/>
          <w:szCs w:val="18"/>
          <w:color w:val="auto"/>
        </w:rPr>
        <w:t>one million Btus, which corresponds to approximately 12.1 gallons of LNG</w:t>
      </w:r>
    </w:p>
    <w:p>
      <w:pPr>
        <w:spacing w:after="0" w:line="293"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mtpa</w:t>
      </w:r>
      <w:r>
        <w:rPr>
          <w:sz w:val="20"/>
          <w:szCs w:val="20"/>
          <w:color w:val="auto"/>
        </w:rPr>
        <w:tab/>
      </w:r>
      <w:r>
        <w:rPr>
          <w:rFonts w:ascii="Times New Roman" w:cs="Times New Roman" w:eastAsia="Times New Roman" w:hAnsi="Times New Roman"/>
          <w:sz w:val="18"/>
          <w:szCs w:val="18"/>
          <w:color w:val="auto"/>
        </w:rPr>
        <w:t>metric tons per year</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kV</w:t>
      </w:r>
      <w:r>
        <w:rPr>
          <w:sz w:val="20"/>
          <w:szCs w:val="20"/>
          <w:color w:val="auto"/>
        </w:rPr>
        <w:tab/>
      </w:r>
      <w:r>
        <w:rPr>
          <w:rFonts w:ascii="Times New Roman" w:cs="Times New Roman" w:eastAsia="Times New Roman" w:hAnsi="Times New Roman"/>
          <w:sz w:val="18"/>
          <w:szCs w:val="18"/>
          <w:color w:val="auto"/>
        </w:rPr>
        <w:t>kilovolt</w:t>
      </w:r>
    </w:p>
    <w:p>
      <w:pPr>
        <w:spacing w:after="0" w:line="23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MW</w:t>
      </w:r>
      <w:r>
        <w:rPr>
          <w:sz w:val="20"/>
          <w:szCs w:val="20"/>
          <w:color w:val="auto"/>
        </w:rPr>
        <w:tab/>
      </w:r>
      <w:r>
        <w:rPr>
          <w:rFonts w:ascii="Times New Roman" w:cs="Times New Roman" w:eastAsia="Times New Roman" w:hAnsi="Times New Roman"/>
          <w:sz w:val="18"/>
          <w:szCs w:val="18"/>
          <w:color w:val="auto"/>
        </w:rPr>
        <w:t>megawatt. We estimate 2,500 LNG gallons would be required to produce one megawatt.</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NGA</w:t>
      </w:r>
      <w:r>
        <w:rPr>
          <w:sz w:val="20"/>
          <w:szCs w:val="20"/>
          <w:color w:val="auto"/>
        </w:rPr>
        <w:tab/>
      </w:r>
      <w:r>
        <w:rPr>
          <w:rFonts w:ascii="Times New Roman" w:cs="Times New Roman" w:eastAsia="Times New Roman" w:hAnsi="Times New Roman"/>
          <w:sz w:val="18"/>
          <w:szCs w:val="18"/>
          <w:color w:val="auto"/>
        </w:rPr>
        <w:t>Natural Gas Act of 1938, as amended</w:t>
      </w:r>
    </w:p>
    <w:p>
      <w:pPr>
        <w:sectPr>
          <w:pgSz w:w="11900" w:h="16838" w:orient="portrait"/>
          <w:cols w:equalWidth="0" w:num="1">
            <w:col w:w="10980"/>
          </w:cols>
          <w:pgMar w:left="320" w:top="29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90" w:right="5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non-FTA</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countries without a free trade agreement with the United States providing for national treatment for trade in natural gas and with which</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countries</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is permitted</w:t>
            </w:r>
          </w:p>
        </w:tc>
      </w:tr>
      <w:tr>
        <w:trPr>
          <w:trHeight w:val="4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Oil Pollution Act</w:t>
            </w:r>
          </w:p>
        </w:tc>
      </w:tr>
      <w:tr>
        <w:trPr>
          <w:trHeight w:val="4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PHMSA</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4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4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steam supply agreement</w:t>
            </w:r>
          </w:p>
        </w:tc>
      </w:tr>
      <w:tr>
        <w:trPr>
          <w:trHeight w:val="4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TBtu</w:t>
            </w:r>
          </w:p>
        </w:tc>
        <w:tc>
          <w:tcPr>
            <w:tcW w:w="10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one trillion Btus, which corresponds to approximately 12,100,000 gallons of LNG</w:t>
            </w:r>
          </w:p>
        </w:tc>
      </w:tr>
      <w:tr>
        <w:trPr>
          <w:trHeight w:val="908"/>
        </w:trPr>
        <w:tc>
          <w:tcPr>
            <w:tcW w:w="1020" w:type="dxa"/>
            <w:vAlign w:val="bottom"/>
          </w:tcPr>
          <w:p>
            <w:pPr>
              <w:spacing w:after="0"/>
              <w:rPr>
                <w:sz w:val="24"/>
                <w:szCs w:val="24"/>
                <w:color w:val="auto"/>
              </w:rPr>
            </w:pPr>
          </w:p>
        </w:tc>
        <w:tc>
          <w:tcPr>
            <w:tcW w:w="1022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iii</w:t>
            </w:r>
          </w:p>
        </w:tc>
      </w:tr>
      <w:tr>
        <w:trPr>
          <w:trHeight w:val="112"/>
        </w:trPr>
        <w:tc>
          <w:tcPr>
            <w:tcW w:w="1020" w:type="dxa"/>
            <w:vAlign w:val="bottom"/>
            <w:tcBorders>
              <w:bottom w:val="single" w:sz="8" w:color="9A9A9A"/>
            </w:tcBorders>
          </w:tcPr>
          <w:p>
            <w:pPr>
              <w:spacing w:after="0"/>
              <w:rPr>
                <w:sz w:val="9"/>
                <w:szCs w:val="9"/>
                <w:color w:val="auto"/>
              </w:rPr>
            </w:pPr>
          </w:p>
        </w:tc>
        <w:tc>
          <w:tcPr>
            <w:tcW w:w="10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92" w:lineRule="exact"/>
        <w:rPr>
          <w:sz w:val="20"/>
          <w:szCs w:val="20"/>
          <w:color w:val="auto"/>
        </w:rPr>
      </w:pPr>
    </w:p>
    <w:p>
      <w:pPr>
        <w:ind w:left="660" w:right="8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the Restructuring Transaction (as defined herein), on the timeline contemplated or at all, and our ability to realize the intended benefits of such transaction;</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implementation of the Restructuring Transaction, including diverting management’s attention and resources, increased costs, and adverse effects on our relationships with customers, suppliers, employees, and other stakeholders;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financial, tax and other risks related to the separation of the Company into two independent entities as part of the Restructuring Transaction;</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 including our ability to remediate our material weaknesses in our internal control over financial reporting and the timing of any such remediation;</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or natural gas to be a competitive source of energy in the markets in which we operate, and seek to operate;</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listing of our Class A common stock on the Nasdaq stock market or another national securities exchange;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 including the anticipated benefits from the sale of our Jamaica business and our strategy and plans for the remaining portion of the Company, including the structure, form, timing and nature of potential actions with respect to the Company’s business in the future and characteristics of the business going forward;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225"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 economic and financial conditions, including the effect of the tax treatment of, or changes in tax laws applicable to, us or our business or of an investment in our Class A common stock, and changing trade policies and tariffs and the related uncertainty thereof; and</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this Quarterly Report.</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2025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226,453</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$17,650 and $17,800, respectively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451,962</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119,447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400,347</w:t>
            </w:r>
          </w:p>
        </w:tc>
        <w:tc>
          <w:tcPr>
            <w:tcW w:w="0" w:type="dxa"/>
            <w:vAlign w:val="bottom"/>
          </w:tcPr>
          <w:p>
            <w:pPr>
              <w:spacing w:after="0"/>
              <w:rPr>
                <w:sz w:val="1"/>
                <w:szCs w:val="1"/>
                <w:color w:val="auto"/>
              </w:rPr>
            </w:pPr>
          </w:p>
        </w:tc>
      </w:tr>
      <w:tr>
        <w:trPr>
          <w:trHeight w:val="189"/>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1,158,748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1,328,698</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3,823,852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3,593,971</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4,892,737</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411,817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187,596</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140,804</w:t>
            </w:r>
          </w:p>
        </w:tc>
        <w:tc>
          <w:tcPr>
            <w:tcW w:w="0" w:type="dxa"/>
            <w:vAlign w:val="bottom"/>
          </w:tcPr>
          <w:p>
            <w:pPr>
              <w:spacing w:after="0"/>
              <w:rPr>
                <w:sz w:val="1"/>
                <w:szCs w:val="1"/>
                <w:color w:val="auto"/>
              </w:rPr>
            </w:pPr>
          </w:p>
        </w:tc>
      </w:tr>
      <w:tr>
        <w:trPr>
          <w:trHeight w:val="22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10,394,338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10,555,623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7,073,477</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731,619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597,776</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177,809</w:t>
            </w:r>
          </w:p>
        </w:tc>
        <w:tc>
          <w:tcPr>
            <w:tcW w:w="0" w:type="dxa"/>
            <w:vAlign w:val="bottom"/>
          </w:tcPr>
          <w:p>
            <w:pPr>
              <w:spacing w:after="0"/>
              <w:rPr>
                <w:sz w:val="1"/>
                <w:szCs w:val="1"/>
                <w:color w:val="auto"/>
              </w:rPr>
            </w:pPr>
          </w:p>
        </w:tc>
      </w:tr>
      <w:tr>
        <w:trPr>
          <w:trHeight w:val="189"/>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8,926,798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8,652,938</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1,105,839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1,105,442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318,819</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92,291</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10,449,374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10,245,992</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18)</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 equity</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285.6 million issued and outstanding as of March 31,</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 284.6 million issued and outstanding as of December 31, 2025</w:t>
            </w:r>
          </w:p>
        </w:tc>
        <w:tc>
          <w:tcPr>
            <w:tcW w:w="2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1,779,052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1,776,306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(1,650,592)</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54,088</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(deficit) equity attributable to NFE</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182,647</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126,984</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(deficit) equity</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309,631</w:t>
            </w:r>
          </w:p>
        </w:tc>
        <w:tc>
          <w:tcPr>
            <w:tcW w:w="0" w:type="dxa"/>
            <w:vAlign w:val="bottom"/>
          </w:tcPr>
          <w:p>
            <w:pPr>
              <w:spacing w:after="0"/>
              <w:rPr>
                <w:sz w:val="1"/>
                <w:szCs w:val="1"/>
                <w:color w:val="auto"/>
              </w:rPr>
            </w:pPr>
          </w:p>
        </w:tc>
      </w:tr>
      <w:tr>
        <w:trPr>
          <w:trHeight w:val="203"/>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10,394,338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10,555,623</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ind w:right="462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 For the three months ended March 31, 2026 and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novation income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472,282</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484,801</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(369,063)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(178,182)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285,702,846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273,609,766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285,702,846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273,609,766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gridSpan w:val="3"/>
            <w:vMerge w:val="restart"/>
          </w:tcPr>
          <w:p>
            <w:pPr>
              <w:jc w:val="right"/>
              <w:ind w:right="213"/>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4"/>
            <w:vMerge w:val="restart"/>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20" w:type="dxa"/>
            <w:vAlign w:val="bottom"/>
            <w:gridSpan w:val="3"/>
            <w:vMerge w:val="restart"/>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33"/>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3"/>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line="20" w:lineRule="exact"/>
              <w:rPr>
                <w:sz w:val="1"/>
                <w:szCs w:val="1"/>
                <w:color w:val="auto"/>
              </w:rPr>
            </w:pPr>
          </w:p>
        </w:tc>
        <w:tc>
          <w:tcPr>
            <w:tcW w:w="9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0" w:type="dxa"/>
            <w:vAlign w:val="bottom"/>
          </w:tcPr>
          <w:p>
            <w:pPr>
              <w:spacing w:after="0"/>
              <w:rPr>
                <w:sz w:val="1"/>
                <w:szCs w:val="1"/>
                <w:color w:val="auto"/>
              </w:rPr>
            </w:pPr>
          </w:p>
        </w:tc>
      </w:tr>
      <w:tr>
        <w:trPr>
          <w:trHeight w:val="19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284,552,811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2,845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1,776,306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(1,650,593)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54,089</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126,984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309,631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4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(399,945)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(400,604)</w:t>
            </w: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34,330</w:t>
            </w:r>
          </w:p>
        </w:tc>
        <w:tc>
          <w:tcPr>
            <w:tcW w:w="0" w:type="dxa"/>
            <w:vAlign w:val="bottom"/>
          </w:tcPr>
          <w:p>
            <w:pPr>
              <w:spacing w:after="0"/>
              <w:rPr>
                <w:sz w:val="1"/>
                <w:szCs w:val="1"/>
                <w:color w:val="auto"/>
              </w:rPr>
            </w:pPr>
          </w:p>
        </w:tc>
      </w:tr>
      <w:tr>
        <w:trPr>
          <w:trHeight w:val="222"/>
        </w:trPr>
        <w:tc>
          <w:tcPr>
            <w:tcW w:w="2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3,790</w:t>
            </w:r>
          </w:p>
        </w:tc>
        <w:tc>
          <w:tcPr>
            <w:tcW w:w="0" w:type="dxa"/>
            <w:vAlign w:val="bottom"/>
          </w:tcPr>
          <w:p>
            <w:pPr>
              <w:spacing w:after="0"/>
              <w:rPr>
                <w:sz w:val="1"/>
                <w:szCs w:val="1"/>
                <w:color w:val="auto"/>
              </w:rPr>
            </w:pPr>
          </w:p>
        </w:tc>
      </w:tr>
      <w:tr>
        <w:trPr>
          <w:trHeight w:val="237"/>
        </w:trPr>
        <w:tc>
          <w:tcPr>
            <w:tcW w:w="41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shares for vested share-based compensation awards</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1,862,805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0"/>
        </w:trPr>
        <w:tc>
          <w:tcPr>
            <w:tcW w:w="506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Shares withheld from employees related to share-based compensation, at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(780,966)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w:t>
            </w: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0" w:type="dxa"/>
            <w:vAlign w:val="bottom"/>
          </w:tcPr>
          <w:p>
            <w:pPr>
              <w:spacing w:after="0"/>
              <w:rPr>
                <w:sz w:val="1"/>
                <w:szCs w:val="1"/>
                <w:color w:val="auto"/>
              </w:rPr>
            </w:pPr>
          </w:p>
        </w:tc>
      </w:tr>
      <w:tr>
        <w:trPr>
          <w:trHeight w:val="16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285,634,650</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2,856</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1,779,052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(2,050,538)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88,388</w:t>
            </w: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125,206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(55,036)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7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2440" w:type="dxa"/>
            <w:vAlign w:val="bottom"/>
          </w:tcPr>
          <w:p>
            <w:pPr>
              <w:spacing w:after="0"/>
              <w:rPr>
                <w:sz w:val="24"/>
                <w:szCs w:val="24"/>
                <w:color w:val="auto"/>
              </w:rPr>
            </w:pPr>
          </w:p>
        </w:tc>
        <w:tc>
          <w:tcPr>
            <w:tcW w:w="170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62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80" w:type="dxa"/>
            <w:vAlign w:val="bottom"/>
            <w:gridSpan w:val="6"/>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80" w:type="dxa"/>
            <w:vAlign w:val="bottom"/>
            <w:tcBorders>
              <w:bottom w:val="single" w:sz="8" w:color="auto"/>
            </w:tcBorders>
            <w:gridSpan w:val="6"/>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center"/>
              <w:ind w:left="33"/>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5"/>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5"/>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58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266,459,093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122,660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2,000,701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top w:val="single" w:sz="8" w:color="CCEEFF"/>
            </w:tcBorders>
            <w:vMerge w:val="continue"/>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(177,634)</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(175,426)</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24,253</w:t>
            </w:r>
          </w:p>
        </w:tc>
        <w:tc>
          <w:tcPr>
            <w:tcW w:w="0" w:type="dxa"/>
            <w:vAlign w:val="bottom"/>
          </w:tcPr>
          <w:p>
            <w:pPr>
              <w:spacing w:after="0"/>
              <w:rPr>
                <w:sz w:val="1"/>
                <w:szCs w:val="1"/>
                <w:color w:val="auto"/>
              </w:rPr>
            </w:pPr>
          </w:p>
        </w:tc>
      </w:tr>
      <w:tr>
        <w:trPr>
          <w:trHeight w:val="195"/>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42"/>
        </w:trPr>
        <w:tc>
          <w:tcPr>
            <w:tcW w:w="24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Class A stock issued, net of issuance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661,207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costs</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Acquisition of non-controlling</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95"/>
        </w:trPr>
        <w:tc>
          <w:tcPr>
            <w:tcW w:w="2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4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Issuance of shares for vested share-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based compensation awards</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Shares withheld from employees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related to share-based</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(13,086)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8"/>
        </w:trPr>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compensation, at cost</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Conversion of Series B convertible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6,651,511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49,898</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Dividends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273,790,539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1,722,829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123,054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1,895,086</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(175,426)</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for:</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 and debt guarantee,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31,224</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 impairment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(34,440)</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(increase) in receivables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inventories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accounts payable/accrued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126,963</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(118,902)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(255,097)</w:t>
            </w:r>
          </w:p>
        </w:tc>
        <w:tc>
          <w:tcPr>
            <w:tcW w:w="0" w:type="dxa"/>
            <w:vAlign w:val="bottom"/>
          </w:tcPr>
          <w:p>
            <w:pPr>
              <w:spacing w:after="0"/>
              <w:rPr>
                <w:sz w:val="1"/>
                <w:szCs w:val="1"/>
                <w:color w:val="auto"/>
              </w:rPr>
            </w:pP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(250,542)</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901,733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made for capital expenditures paid beyond customary vendor payment terms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(109,841)</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(664,062)</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dividends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94,615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34,332</w:t>
            </w: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(128,832)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356,942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965,577</w:t>
            </w:r>
          </w:p>
        </w:tc>
        <w:tc>
          <w:tcPr>
            <w:tcW w:w="0" w:type="dxa"/>
            <w:vAlign w:val="bottom"/>
          </w:tcPr>
          <w:p>
            <w:pPr>
              <w:spacing w:after="0"/>
              <w:rPr>
                <w:sz w:val="1"/>
                <w:szCs w:val="1"/>
                <w:color w:val="auto"/>
              </w:rPr>
            </w:pP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836,745</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8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 property, plant and equipment additions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(87,932)</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associated with construction in progress and property, plant and equipment additions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372,361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on financing obligation to Energos by third-party charters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balance sheet line-items included in Cash and cash equivalents and Restricted cash presented in the Condensed Consolidated Statements of Cash Flows:</w:t>
      </w:r>
    </w:p>
    <w:p>
      <w:pPr>
        <w:sectPr>
          <w:pgSz w:w="11900" w:h="16838" w:orient="portrait"/>
          <w:cols w:equalWidth="0" w:num="1">
            <w:col w:w="11180"/>
          </w:cols>
          <w:pgMar w:left="320" w:top="290" w:right="39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right="3360"/>
        <w:spacing w:after="0" w:line="402" w:lineRule="auto"/>
        <w:rPr>
          <w:sz w:val="20"/>
          <w:szCs w:val="20"/>
          <w:color w:val="auto"/>
        </w:rPr>
      </w:pPr>
      <w:r>
        <w:rPr>
          <w:rFonts w:ascii="Times New Roman" w:cs="Times New Roman" w:eastAsia="Times New Roman" w:hAnsi="Times New Roman"/>
          <w:sz w:val="14"/>
          <w:szCs w:val="14"/>
          <w:color w:val="auto"/>
        </w:rPr>
        <w:t>Cash and cash equivalents and restricted cash classified as held for sale Cash, cash equivalents and restricted cash – end of period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33655</wp:posOffset>
            </wp:positionV>
            <wp:extent cx="1945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ind w:left="58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71" w:lineRule="exact"/>
        <w:rPr>
          <w:sz w:val="20"/>
          <w:szCs w:val="20"/>
          <w:color w:val="auto"/>
        </w:rPr>
      </w:pPr>
    </w:p>
    <w:p>
      <w:pPr>
        <w:spacing w:after="0"/>
        <w:tabs>
          <w:tab w:leader="none" w:pos="980" w:val="left"/>
          <w:tab w:leader="none" w:pos="1560" w:val="left"/>
          <w:tab w:leader="none" w:pos="24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92,389</w:t>
        <w:tab/>
        <w:t>$</w:t>
      </w:r>
      <w:r>
        <w:rPr>
          <w:sz w:val="20"/>
          <w:szCs w:val="20"/>
          <w:color w:val="auto"/>
        </w:rPr>
        <w:tab/>
      </w:r>
      <w:r>
        <w:rPr>
          <w:rFonts w:ascii="Times New Roman" w:cs="Times New Roman" w:eastAsia="Times New Roman" w:hAnsi="Times New Roman"/>
          <w:sz w:val="14"/>
          <w:szCs w:val="14"/>
          <w:color w:val="auto"/>
        </w:rPr>
        <w:t>447,862</w:t>
      </w:r>
    </w:p>
    <w:p>
      <w:pPr>
        <w:spacing w:after="0" w:line="69" w:lineRule="exact"/>
        <w:rPr>
          <w:sz w:val="20"/>
          <w:szCs w:val="20"/>
          <w:color w:val="auto"/>
        </w:rPr>
      </w:pPr>
    </w:p>
    <w:p>
      <w:pPr>
        <w:jc w:val="both"/>
        <w:ind w:left="1000"/>
        <w:spacing w:after="0"/>
        <w:tabs>
          <w:tab w:leader="none" w:pos="2480" w:val="left"/>
        </w:tabs>
        <w:rPr>
          <w:sz w:val="20"/>
          <w:szCs w:val="20"/>
          <w:color w:val="auto"/>
        </w:rPr>
      </w:pPr>
      <w:r>
        <w:rPr>
          <w:rFonts w:ascii="Times New Roman" w:cs="Times New Roman" w:eastAsia="Times New Roman" w:hAnsi="Times New Roman"/>
          <w:sz w:val="14"/>
          <w:szCs w:val="14"/>
          <w:color w:val="auto"/>
        </w:rPr>
        <w:t>97,492</w:t>
      </w:r>
      <w:r>
        <w:rPr>
          <w:sz w:val="20"/>
          <w:szCs w:val="20"/>
          <w:color w:val="auto"/>
        </w:rPr>
        <w:tab/>
      </w:r>
      <w:r>
        <w:rPr>
          <w:rFonts w:ascii="Times New Roman" w:cs="Times New Roman" w:eastAsia="Times New Roman" w:hAnsi="Times New Roman"/>
          <w:sz w:val="14"/>
          <w:szCs w:val="14"/>
          <w:color w:val="auto"/>
        </w:rPr>
        <w:t>379,537</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—9,346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32385</wp:posOffset>
            </wp:positionV>
            <wp:extent cx="1945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spacing w:after="0"/>
        <w:tabs>
          <w:tab w:leader="none" w:pos="920" w:val="left"/>
          <w:tab w:leader="none" w:pos="1560" w:val="left"/>
          <w:tab w:leader="none" w:pos="24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189,881</w:t>
        <w:tab/>
        <w:t>$</w:t>
      </w:r>
      <w:r>
        <w:rPr>
          <w:sz w:val="20"/>
          <w:szCs w:val="20"/>
          <w:color w:val="auto"/>
        </w:rPr>
        <w:tab/>
      </w:r>
      <w:r>
        <w:rPr>
          <w:rFonts w:ascii="Times New Roman" w:cs="Times New Roman" w:eastAsia="Times New Roman" w:hAnsi="Times New Roman"/>
          <w:sz w:val="14"/>
          <w:szCs w:val="14"/>
          <w:color w:val="auto"/>
        </w:rPr>
        <w:t>836,745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32385</wp:posOffset>
            </wp:positionV>
            <wp:extent cx="194564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7480" w:space="720"/>
            <w:col w:w="2980"/>
          </w:cols>
          <w:pgMar w:left="320" w:top="290" w:right="399" w:bottom="1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14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Brazil and Mexico. The Company has marine operations with vessels operating under time charters and in the spot market globally.</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currently conducts its business through two operating segments, Terminals and Infrastructure and Ships. The business and reportable segment information reflects how the Chief Operating Decision Maker (“CODM”) regularly reviews and manages the business. The Company's CODM is its Chief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 and Planned Debt Restructuring</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the Company will continue as a going concern over the next twelve months from the date of issuance of these financial statements, which assumes the realization of assets and the satisfaction of liabilities in the normal course of business. Due, in part, to the events of default under the Company’s debt agreements detailed below, management has concluded that there is substantial doubt as to the Company’s ability to continue as a going concern. The condensed consolidated financial statements do not include any adjustments to the carrying amounts and classification of assets, liabilities, and reported expenses that may be necessary if the Company were unable to continue as a going concern. On March 17, 2026, the Company entered into an RSA (defined below) with certain noteholders and lenders, and upon completion of the transactions contemplated in this agreement, the Company will have a new capital structure and the current debt facilities in default will no longer be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of default on outstanding debt are summarized as follows:</w:t>
      </w:r>
    </w:p>
    <w:p>
      <w:pPr>
        <w:spacing w:after="0" w:line="225" w:lineRule="exact"/>
        <w:rPr>
          <w:sz w:val="20"/>
          <w:szCs w:val="20"/>
          <w:color w:val="auto"/>
        </w:rPr>
      </w:pPr>
    </w:p>
    <w:p>
      <w:pPr>
        <w:ind w:left="660" w:right="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NFE Financing LLC, a subsidiary of the Company (“NFE Financing”), did not make the interest payment of $163,800 due to holders of the New 2029 Notes on November 17, 2025. An event of default under the indenture governing the New 2029 Notes arose on November 20, 2025, when the contractual grace period for interest payments on such notes expired. On November 18, 2025, the Company and certain of its subsidiaries, including NFE Financing, entered into a forbearance agreement with the beneficial holders of greater than 70% of the New 2029 Notes (the “New 2029 Notes Forbearance Agreement”), pursuant to which such beneficial holders agreed to forbear from accelerating or exercising remedies in respect of such event of default. The New 2029 Notes Forbearance Agreement was initially in effect through December 15, 2025, and the Company continues to have forbearance for defaults covered by the New 2029 Notes Forbearance Agreement and other specified defaults in the RSA as long as the RSA remains in effect.</w:t>
      </w:r>
    </w:p>
    <w:p>
      <w:pPr>
        <w:spacing w:after="0" w:line="191"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make the interest payment of $30,644 due under the Term Loan B Credit Agreement on December 10, 2025, and subsequent interest payments due to these lenders have not been paid. An event of default under the Term Loan B Credit Agreement arose on December 17, 2025, when the contractual grace period for interest payments on the loans expired. On December 17, 2025, the Company and certain of its subsidiaries entered into a forbearance agreement with certain lenders of the Term Loan B (the “Term Loan B Forbearance Agreement”), pursuant to which such lenders agreed to forbear from accelerating or exercising remedies in respect of such events of default. The Company also did not make the principal payment of $3,181 due on December 31, 2025, and the event of default arising from the failure to make this principal payment, as well as subsequent principal and interest payments, was also covered by the Term Loan B Forbearance Agreement. The Term Loan B Forbearance Agreement was originally scheduled to terminate on January 9, 2026, and the Company continues to have forbearance for defaults covered by the Term Loan B Forbearance Agreement and other specified defaults in the RSA as long as the RSA remains in effect.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make the interest payment of $1,647 due under the Term Loan A Credit Agreement on December 10, 2025, and subsequent interest payments due to these lenders have not been paid. An event of default under the Term Loan A Credit Agreement arose on December 17, 2025, when the contractual grace period for interest payments on the loans expired. On December 17, 2025, the Company and certain of its subsidiaries entered into a forbearance agreement (the “Term Loan A Forbearance Agreement”), with certain lenders of the Term Loan A, pursuant to which such lenders agreed to forbear from accelerating or exercising remedies in respect of such event of default. The Term Loan A Forbearance Agreement was initially in effect through January 9, 2026, and the Company continues to have forbearance for defaults covered by the Term Loan A Forbearance Agreement and other specified defaults in the RSA as long as the RSA remains in effect.</w:t>
      </w:r>
    </w:p>
    <w:p>
      <w:pPr>
        <w:spacing w:after="0" w:line="188" w:lineRule="exact"/>
        <w:rPr>
          <w:rFonts w:ascii="Times New Roman" w:cs="Times New Roman" w:eastAsia="Times New Roman" w:hAnsi="Times New Roman"/>
          <w:sz w:val="18"/>
          <w:szCs w:val="18"/>
          <w:color w:val="auto"/>
        </w:rPr>
      </w:pPr>
    </w:p>
    <w:p>
      <w:pPr>
        <w:ind w:left="660" w:hanging="328"/>
        <w:spacing w:after="0" w:line="274"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make any interest payments under the Revolving Facility, beginning with the payment due on November 28, 2025. An event of default under the Revolving Facility arose on January 13, 2026, when the contractual grace period for interest payments on the loans expired. The Company and certain of its subsidiaries subsequently entered into a forbearance agreement (the "RF Forbearance Agreement") with certain lenders to the Revolving Facility, pursuant to which such lenders agreed to forbear from accelerating or exercising remedies in respect of such event of default. The RCF Forbearance Agreement was initially in effect through January 23, 2026, and the Company continues to have forbearance for defaults covered by the RCF Forbearance Agreement and other specified defaults in the RSA as long as the RSA remains in effect.</w:t>
      </w:r>
    </w:p>
    <w:p>
      <w:pPr>
        <w:spacing w:after="0" w:line="172" w:lineRule="exact"/>
        <w:rPr>
          <w:rFonts w:ascii="Times New Roman" w:cs="Times New Roman" w:eastAsia="Times New Roman" w:hAnsi="Times New Roman"/>
          <w:sz w:val="17"/>
          <w:szCs w:val="17"/>
          <w:color w:val="auto"/>
        </w:rPr>
      </w:pPr>
    </w:p>
    <w:p>
      <w:pPr>
        <w:ind w:left="660" w:right="220" w:hanging="328"/>
        <w:spacing w:after="0" w:line="31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make the interest payment of $10,357 due to holders of the 2029 Notes on March 15, 2026. An event of default under the indenture governing the 2029 Notes arose on April 14, 2026, when the contractual grace period for interest payments on such notes expired.</w:t>
      </w:r>
    </w:p>
    <w:p>
      <w:pPr>
        <w:spacing w:after="0" w:line="139" w:lineRule="exact"/>
        <w:rPr>
          <w:rFonts w:ascii="Times New Roman" w:cs="Times New Roman" w:eastAsia="Times New Roman" w:hAnsi="Times New Roman"/>
          <w:sz w:val="17"/>
          <w:szCs w:val="17"/>
          <w:color w:val="auto"/>
        </w:rPr>
      </w:pPr>
    </w:p>
    <w:p>
      <w:pPr>
        <w:jc w:val="both"/>
        <w:ind w:left="660" w:right="220" w:hanging="328"/>
        <w:spacing w:after="0" w:line="31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make the interest payment of $16,604 due to the holders of the 2026 Notes on March 31, 2026. An event of default under the indenture governing the 2026 Notes arose on April 30, 2026, when the contractual grace period for interest payments on such notes expired.</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on March 27, 2026, the Company and certain of its subsidiaries entered into a forbearance agreement (the "LCF Forbearance Agreement") with the lenders party thereto and Natixis, New York Branch, as administrative agent and collateral agent under the Letter of Credit Facility, pursuant to which, among other things, the lenders agreed to forbear from exercising all of their rights and remedies under the Letter of Credit Facility with respect to certain specified defaults listed which may arise prior to the termination date of the LCF Forbearance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restructuring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2026, the Company entered into a restructuring support agreement (together with all exhibits, annexes and schedules thereto, the “RSA”)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certain of its lenders and noteholders, including:</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an ad hoc group of holders of the New 2029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an ad hoc group of term lenders under the Term Loan B Credit Agreement;</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holders of debt under the Revolving Credit Agreement, being lenders under a facility currently drawn at approximately $100 million (the “R-1 Revolving Credit Facility”) and under a facility currently drawn at approximately $560 million (the “R-2 Revolving Credit Facility”);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an ad hoc group of term lenders under the Term Loan A Credit Agreement;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a group of creditors with recourse to the collateral assets in the Company’s core business, but not to the Company’s Fast LNG assets (or “FLNG”) or Brazil business, including (1) holders of the 2026 Notes and holders of the 2029 Notes and (2) creditors of the debt under that certain Credit Agreement, dated as of November 22, 2024, by and among the Company, as the borrower, the guarantors from time to time party thereto, NFE Brazil Investments LLC, as the lender, and Wilmington Savings Fund Society, FSB, as the administrative agent and as collateral agent (the “Series I Credit Agreement”) and under that certain Credit Agreement, dated as of December 6, 2024, by and among the Company, as the borrower, the guarantors from time to time party thereto, NFE Financing, as the lender, and Wilmington Savings Fund Society, FSB, as the administrative agent and as collateral agent (the “Series II Credit Agreement”) (collectively, the “Supporting Creditors”).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Holders of or lenders under the debt instruments described above that are not already party to the RSA may become Additional Supporting Creditors (as defined in the RSA) by executing and delivering a joinder in accordance with the terms of the RSA.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RSA sets forth principal terms for a comprehensive restructuring of the Company’s principal funded debt obligations (the “Restructuring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The RSA contemplates, among other things, the following material terms:</w:t>
      </w:r>
    </w:p>
    <w:p>
      <w:pPr>
        <w:spacing w:after="0" w:line="207" w:lineRule="exact"/>
        <w:rPr>
          <w:sz w:val="20"/>
          <w:szCs w:val="20"/>
          <w:color w:val="auto"/>
        </w:rPr>
      </w:pPr>
    </w:p>
    <w:p>
      <w:pPr>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separate into two independent companies: one generally comprising the Company’s businesses and assets in Brazil and land in Wyalusing, Pennsylvania (“BrazilCo”), and the other generally comprising the Company’s other businesses and assets, which will be retained by NFE (“CoreCo”);</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the 2026 Notes, the 2029 Notes, the Term Loan A Credit Agreement, the Term Loan B Credit Agreement, the Revolving Credit Agreement, the New 2029 Notes, and certain intercompany credit agreements will be exchanged (in each case on a ratable basis) for one or a combination of the following debt obligations and equity securities: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common equity interests in BrazilCo;</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56"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(i) $571,300 in senior secured term loans and, solely to the extent necessary, if at all, to meet the minimum liquidity threshold, up to $35 million of Senior Capital Raise Term Loans, and (ii) Capital Raise Junior Term Loans in an aggregate principal amount, if any, required to satisfy the minimum liquidity threshold to the extent the minimum liquidity threshold is not satisfied after giving pro forma effect to the incurrence of the Senior Capital Raise Term Loans, each incurred by the Company, as borrower, and guaranteed by each subsidiary of the Company that will be part of CoreCo (subject to customary exclusions and other exclusions to be agreed) (“New CoreCo Term Loans”);</w:t>
      </w:r>
    </w:p>
    <w:p>
      <w:pPr>
        <w:spacing w:after="0" w:line="187"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of NFE with an aggregate liquidation preference of approximately $2,460,000 (“CoreCo Convertible Preferred Stock”);</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representing 65% of the Company’s Class A common stock as of the closing date of the Restructuring Transaction, before giving effect to shares authorized under an incentive plan for directors, officers and other employees of the Company or any conversion of the CoreCo Convertible Preferred Stock into NFE Class A common stock;</w:t>
      </w:r>
    </w:p>
    <w:p>
      <w:pPr>
        <w:spacing w:after="0" w:line="175"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in non-recourse term loans incurred or issued by the subsidiary that owns the Company’s Fast LNG 2 assets (“FLNG 2 Co”), payable in full on the third anniversary of the closing date of the Restructuring Transaction, guaranteed by certain subsidiaries of FLNG 2 Co and secured by substantially all assets of FLNG 2 Co and such subsidiaries; and / or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in non-convertible, preferred equity (the “FLNG 2 Preferred Equity”) issued by FLNG 2 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matters regarding CoreCo;</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issued under the Company’s existing Letter of Credit Facility or Revolving Facility will be backstopped or replaced by letters of credit issued under new fully committed letter of credit facilities for each of CoreCo and BrazilCo;</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existing debt facilities and other liabilities will be refinanced, renegotiated, or compromised, or will remain outstanding in accordance with their existing terms;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the Company’s Class A common stock outstanding immediately prior to the consummation of the Restructuring Transaction will remain outstanding and will represent 35% of the Company’s Class A common stock issued and outstanding following the consummation of the Restructuring Transaction (but before giving effect to shares authorized under an incentive plan for directors, officers and other employees of the Company or any conversion of the CoreCo Convertible Preferred Stock into NFE Class A common stock); and</w:t>
      </w:r>
    </w:p>
    <w:p>
      <w:pPr>
        <w:spacing w:after="0" w:line="179"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in order to meet a consolidated minimum liquidity threshold ($100,000) on the closing date of the Restructuring Transaction, the Company will offer to all eligible creditors the opportunity to participate in a</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capital raise, pursuant to which the Company would raise up to $35,000 in aggregate principal amount of additional New CoreCo Term Loans (the "Senior Capital Raise Term Loans") and, to the extent the consolidated minimum liquidity threshold would not be met after giving effect to the additional New CoreCo Term Loans, junior term loans secured by a second-priority lien in an amount so that the consolidated minimum liquidity threshold would be met (the "Capital Raise Junior Term Loans").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Provided certain conditions were met (as set out in the RSA), the Company will pay to holders of or lenders under the debt instruments described above that became Supporting Creditors on or before 5:00 p.m. New York City time on April 8, 2026, an early consent fee (the “Early Consent Fee”) in an amount equal to 0.75% of the principal amount of such Supporting Creditors’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claim in:</w:t>
      </w:r>
    </w:p>
    <w:p>
      <w:pPr>
        <w:spacing w:after="0" w:line="17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outstanding under the 2026 Notes for each supporting holder of 2026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outstanding under the 2029 Notes for each supporting holder of 2029 Notes;</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outstanding under the Term Loan B Credit Agreement for each supporting lender under the Term Loan B Credit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outstanding under the R-1 Revolving Credit Facility for each supporting lender under the R-1 Revolving Credit Facility;</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supporting lender under the R-2 Revolving Credit Facility, (i) the principal outstanding under the R-2 Revolving Credit Facility, plus (ii) a share of principal outstanding under the Series I Credit Agreement and the Series II Credit Agreement in proportion to the share of recoveries for lenders under the R-2 Revolving Credit Facility in respect of certain assets of NFE Financing together with a guarantee from Bradford County Real Estate Partners LLC (the “Brazil Collateral”) under an intercreditor agreement dated December 6, 2024 (the “Brazil Parent ICA”);</w:t>
      </w:r>
    </w:p>
    <w:p>
      <w:pPr>
        <w:spacing w:after="0" w:line="179"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supporting lender under the Term Loan A Credit Agreement, (i) the principal outstanding under the Term Loan A Credit Agreement, plus (ii) a share of principal outstanding under the Series I Loan Debt and the Series II Loan Debt in proportion to the share of recoveries for lenders under the Term Loan A Credit Agreement in respect of the Brazil Collateral under the Brazil Parent ICA; and</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supporting holder of the New 2029 Notes, a share of principal outstanding under the Series I Loan Debt and the Series II Loan Debt in proportion to the share of recoveries for holders of the New 2029 Notes in respect of the Brazil Collateral under the Brazil Parent ICA</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April 30, 2026, the Company has received strong indications of support for the Restructuring Transaction from holders and lenders representing over 97% of its approximately $5.8 billion principal amount of aggregate indebtedness.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Supporting Creditor’s entitlement to the Early Consent Fee will be determined by reference to the aggregate principal amount of notes and loans held by that Supporting Creditor as of the record date specified to creditors for voting under the Restructuring Plans (as defined below). Such early consent fee will be payable in kind in the form of the consideration to be afforded to such Supporting Creditors under the Restructuring Plans. Separately, the Company has agreed to pay each lender under the Revolving Credit Agreement that agrees to forbear from taking any enforcement action under the Revolving Credit Agreement a standstill fee in an amount equal to 2.00% of the outstanding loans made by such forbearing lender, provided that a simple majority of lenders under the Revolving Credit Agreement agree to forbear.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CoreCo Convertible Preferred Stock and FLNG 2 Preferred Equity</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terms of the RSA, the CoreCo Convertible Preferred Stock will mandatorily convert on the third anniversary of the closing date of the Restructuring Transaction into shares of NFE Class A common stock representing 87% of the fully diluted Class A common stock of NFE as of the closing date of the Restructuring Transaction (after giving effect to the shares of NFE Class A common stock to be issued on the closing date of the Restructuring Transaction and the incentive plan for directors, officers and other employees of the Company). The conversion rate of the CoreCo Convertible Preferred Stock will be subject to customary adjustments for stock splits, distributions, reorganizations and reclassifications, as well as to certain price-based anti-dilution adjustments for subsequent issuances of NFE Class A common stock (or securities convertible into NFE Class A common stock) made by the Company while the CoreCo</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Convertible Preferred Stock remains outstanding (subject to certain exempt issuances). CoreCo will have the right to redeem or repurchase the CoreCo Convertible Preferred Stock from time to time with certain sources of proceeds enumerated in the RSA. Holders of the CoreCo Convertible Preferred Stock will be entitled, in arrears, to a cumulative quarterly compounding dividend, which will accrue automatically via an increase to liquidation preference, with a cumulative per annum preferred return of 3.0%, 5.0% and 7.0% in each of the three years, respectively, prior to conversion. The CoreCo Convertible Preferred Stock will participate on an as-converted basis in any dividends and distributions on, and vote together with holders of, NFE Class A common stock. The CoreCo Convertible Preferred Stock will be subordinated in right of payment to all existing and future indebtedness of CoreCo and senior in right of payment to all existing and future equity securities of CoreCo.</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FLNG 2 Preferred Equity will be issued by FLNG 2 Co at the closing date of the Restructuring Transaction pursuant to the RSA and will reflect economic and structural features substantially similar to those of the CoreCo Convertible Preferred Stock, except as otherwise provided herein. CoreCo will have the right to redeem the FLNG 2 Preferred Equity from time to time with certain sources of proceeds enumerated in the RSA. The Company will not pay any dividends on the FLNG 2 Preferred Equity. The FLNG 2 Preferred Equity will be subordinated in right of payment to all existing and future indebtedness of FLNG 2 Co and senior in right of payment to all existing and future equity securities of FLNG 2 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New CoreCo Term Loans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expects to use the proceeds of the New CoreCo Term Loans to refinance, on a cashless basis, certain of the loans and other obligations outstanding under the Revolving Credit Agreement and Term Loan B Credit Agreement. If necessary, the cash proceeds of up to $35,000 of additional New CoreCo Term Loans will be used to satisfy the consolidated minimum liquidity threshold required by the RSA and, to the extent the consolidated minimum liquidity threshold would not be met after giving effect to the additional New CoreCo Term Loans, term loans second ranking to such additional New CoreCo Term Loans in an amount such that the consolidated minimum liquidity threshold would be met. The New CoreCo Term Loans will mature five years after the closing date of the Restructuring Transaction and will amortize at a rate of 1% per annum, paid quarterly. The New CoreCo Term Loans will be guaranteed, jointly and severally, on a senior secured basis by each subsidiary that is a guarantor under the Letter of Credit Facility on the closing date of the Restructuring Transaction, and will be secured by substantially the same collateral as the collateral that currently secures the Letter of Credit Facility, subject to certain exceptions, including the Company’s FLNG 2 assets. To the extent the minimum liquidity threshold is not satisfied after giving effect to the funding of the New CoreCo Term Loans, the Company is permitted to incur additional indebtedness that will be guaranteed by the same guarantors guaranteeing the New CoreCo Term Loans and secured by a second-priority lien on all of the collateral securing the New CoreCo Term Loans.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New CoreCo Term Loans may be voluntarily prepaid by the Company, in whole or in part, subject to prepayment premiums for optional prepayments equal to 102% of the aggregate principal amount of such term loan prepaid plus accrued and unpaid interest during the first year after the closing of the New CoreCo Credit Agreement, and at par plus accrued and unpaid interest thereafter. The Company will be required to prepay the New CoreCo Term Loans at par with the net proceeds of non-ordinary course asset sales, condemnations and certain other events enumerated in the RSA.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Elections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Holders of debt under the R-2 Revolving Credit Facility and the Term Loan A Credit Agreement were given the opportunity to elect to receive (a) their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share of $45,000 in lieu of the BrazilCo Common Equity they would receive in exchange for their debt and holders of debt under the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were given the opportunity to elect to receive (b) additional New CoreCo Term Loans in lieu of the CoreCo Convertible Preferred Stock they would receive in exchange for their claims, up to a cap, at a rate of 50% of the liquidation preference of the CoreCo Convertible Preferred Stock in aggregate principal amount of New CoreCo Term Loans.</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RSA, upon consummation of the Restructuring Transaction, Wesley R. Edens will purchase from certain of our existing creditors 6,672 shares of CoreCo Convertible Preferred Stock (liquidation preference of $1,000 per share) at a price of $250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Restructuring Plans</w:t>
      </w:r>
    </w:p>
    <w:p>
      <w:pPr>
        <w:spacing w:after="0" w:line="22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expects to complete the Restructuring Transaction through restructuring plans promoted by each of two indirect subsidiaries of the Company, (i) NFE Global Holdings Limited (“NFE Global”) and (ii) NFE Brazil Newco</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Limited (“NFE Brazil Newco”) (each, a “PlanCo”) under Part 26A of the UK Companies Act 2006 (for each PlanCo, the “Restructuring Plan”, and together, the “Restructuring Plans”) and sanctioned by the High Court of Justice in England (the “UK High Court”). NFE Global will propose a Restructuring Plan (the “CoreCo Plan”) that will compromise the debt under the Series I Credit Agreement, Series II Credit Agreement, 2026 Notes, 2029 Notes, Revolving Credit Agreement, Term Loan A Credit Agreement and Term Loan B Credit Agreement and NFE Brazil Newco will propose a Restructuring Plan (the “BrazilCo Plan”) that will compromise the debt under the New 2029 Notes. The PlanCos will seek recognition of the Restructuring Plans in the United States pursuant to chapter 15 of the U.S. Bankruptcy Code. The Restructuring Plans will bind all relevant creditors, and release the obligations of the Company and all guarantors, under the debt instruments addressed in the Restructuring Plans; however, neither the Company nor any of its subsidiaries other than the PlanCos anticipate being parties to the Restructuring Plans proceedings in the UK High Court, the chapter 15 recognition proceedings or any other restructuring, bankruptcy or insolvency proceeding in connection with the Restructuring Transaction.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RSA sets forth the commitments of the Company and the Supporting Creditors to, among other things, cooperate in good faith to negotiate the definitive documents necessary or advisable to effect the Restructuring Transaction, use their commercially reasonable efforts to consummate the Restructuring Transaction in accordance with such definitive documents, and refrain from taking any actions that would impede or would otherwise be inconsistent with the Restructuring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spacing w:after="0" w:line="187"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7"/>
          <w:szCs w:val="17"/>
          <w:color w:val="auto"/>
        </w:rPr>
        <w:t>The parties’ obligations to consummate the Restructuring Transaction are subject to the satisfaction of certain conditions, including the UK High Court’s entry of an order sanctioning the Restructuring Plans and the recognition of that order in the United States pursuant to chapter 15 of the U.S. Bankruptcy Code, completion of definitive documents acceptable to the parties in accordance with standards set forth in the RSA, approval of certain matters by the Company’s stockholders, receipt of required regulatory and third-party consents and approvals, and satisfaction of certain process “milestones”.</w:t>
      </w:r>
    </w:p>
    <w:p>
      <w:pPr>
        <w:spacing w:after="0" w:line="1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RSA may be terminated by the Company and/or the Supporting Creditors, as applicable, upon the occurrence of specified events defined in the RSA, including, without limitation, if (1) a material, uncured breach of certain parties’ representations, warranties, covenants, or obligations under the RSA occurs, (2) any of the conditions to the closing of the Restructuring Transaction (including the timely satisfaction of any of the process “milestones” prescribed in the RSA) is not timely satisfied or waived, (3) certain issued letters of credit are drawn or (4) the Restructuring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Company’s board of directors determines, upon the advice of counsel, that the Company’s continued performance under the RSA would be inconsistent with the fiduciary duties of the Company’s directors.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submitted certain proposals in connection with the Restructuring Transaction to the Company’s stockholders at its 2026 Annual Meeting of Stockholders, including, among other things, an amendment to the Company’s Certificate of Incorporation (the “Certificate of Incorporation”) to increase the number of authorized shares of NFE Class A common stock; approval for the potential issuance of common stock exceeding 20% of the current outstanding shares to comply with Nasdaq rules; an amendment to the Company’s 2019 Omnibus Incentive Plan to increase the number of shares available for grants; and an amendment to the Certificate of Incorporation to authorize a reverse stock split at a ratio of 1-for-50 (collectively, the “Stockholder Proposals”). The Restructuring Transaction is conditioned upon approval of all of the Stockholder Proposals.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the Company intends to pursue the Restructuring Transaction in accordance with the terms set forth in the RSA, there can be no assurance that the Company will satisfy all of the conditions under the RSA and complete the Restructuring Transaction as contemplated or at all. If the Company is unable to complete the Restructuring Transaction or any other alternative transactions, the Company will be required or compelled to pursue alternative in-court restructuring initiatives to preserve value, which would have a material and adverse impact on stockholders and likely result in no recovery to stockholders. As there are conditions under the RSA that are not in the Company’s control, the execution of the RSA does not alleviate substantial doubt that the Company can continue as a going concern.</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Basis of presentation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2025 (the "Annual Report"). Certain prior year amounts have been reclassified to conform to current year presentation.</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Adoption of new and revised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and amended standards adopted by the Company:</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amendment provides a practical expedient that allows entities to assume that current conditions as of the balance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do not change for the remaining life of the asset when estimating expected credit losses for current accounts receivable and current contract assets. The amendments of the ASU should be applied prospectively and are effective for annual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on January 1, 2026. The adoption of this standard did not have a material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New standards, amendments and interpretations issued but not effective for the year beginning January 1, 2026:</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These amendments require public business entities to disclose additional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in the notes to financial statements at each interim and annual reporting period. ASU 2024-03 will be effective for annual reporting periods beginning after December 15, 2026, and interim reporting periods within annual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The amendments remove all references to prescriptive and sequential software development stages (referred to as “project stages”) throughout Subtopic 350-40 and specify that the disclosures in Subtopic 360-10, </w:t>
      </w:r>
      <w:r>
        <w:rPr>
          <w:rFonts w:ascii="Times New Roman" w:cs="Times New Roman" w:eastAsia="Times New Roman" w:hAnsi="Times New Roman"/>
          <w:sz w:val="18"/>
          <w:szCs w:val="18"/>
          <w:i w:val="1"/>
          <w:iCs w:val="1"/>
          <w:color w:val="auto"/>
        </w:rPr>
        <w:t>Property, Plant, and Equipment—Overall</w:t>
      </w:r>
      <w:r>
        <w:rPr>
          <w:rFonts w:ascii="Times New Roman" w:cs="Times New Roman" w:eastAsia="Times New Roman" w:hAnsi="Times New Roman"/>
          <w:sz w:val="18"/>
          <w:szCs w:val="18"/>
          <w:color w:val="auto"/>
        </w:rPr>
        <w:t>, are required for all capitalized internal-use software costs, regardless of how those costs are presented in the financial statements. The amendments are effective for annual periods beginning after December 15, 2027, and interim reporting periods within those annual reporting periods. Early adoption is permitted. The amendments can be applied prospectively, on a modified retrospective basis, or retrospectively. The Company is currently evaluating the impact that the adoption of ASU 2025-06 may have on the Company’s financial statements and disclosures.</w:t>
      </w:r>
    </w:p>
    <w:p>
      <w:pPr>
        <w:spacing w:after="0" w:line="18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The amendments provide a scope exception to exclude from derivative accounting nonexchange-traded contracts with underlyings that are based on operations or activities specific to one of the parties to the contract. The amendments are effective for annual periods beginning after December 15, 2026, and interim reporting periods within those annual reporting periods. Early adoption is permitted. The amendments can be applied prospectively or on a modified retrospective basis. The Company is currently evaluating the impact that the adoption of ASU 2025-07 may have on the Company’s financial statements and disclosures.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April 2026, the FASB issued ASU No. 2026-01, </w:t>
      </w:r>
      <w:r>
        <w:rPr>
          <w:rFonts w:ascii="Times New Roman" w:cs="Times New Roman" w:eastAsia="Times New Roman" w:hAnsi="Times New Roman"/>
          <w:sz w:val="18"/>
          <w:szCs w:val="18"/>
          <w:i w:val="1"/>
          <w:iCs w:val="1"/>
          <w:color w:val="auto"/>
        </w:rPr>
        <w:t>Equity (Topic 505)</w:t>
      </w:r>
      <w:r>
        <w:rPr>
          <w:rFonts w:ascii="Times New Roman" w:cs="Times New Roman" w:eastAsia="Times New Roman" w:hAnsi="Times New Roman"/>
          <w:sz w:val="18"/>
          <w:szCs w:val="18"/>
          <w:color w:val="auto"/>
        </w:rPr>
        <w:t>. The amendments require that paid-in-kind (“PIK”) dividends on equity-classified preferred stock be initially measured on the basis of the PIK dividend rate stated in the preferred stock agreement. The amendments are effective for all entities for annual reporting periods beginning after December 15, 2026, and interim reporting periods within those annual reporting periods. Early adoption is permitted. The amendments can be applied prospectively or on a modified retrospective basis. The Company is currently evaluating the impact that the adoption of ASU 2026-01 may have on the Company’s financial statements and disclosures.</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Variable Interest Entities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2025, the Company formed a partnership (“SCP”) with an energy trader to structure a power trading operation to fulfill certain of the Company’s power purchase agreement operations. The Company holds an 87.5% partnership interest in SCP with the remaining interest held by the local energy trader. SCP determines the results of the structured trading operation and distributes any profits to the partners pro-ratably based on the ownership percentage, and the Company is responsible for any losses incurred in the structured operation. The Company has determined that SCP is a Variable Interest Entity (“VIE”) and consolidates the results of operations of SCP as the Company is the primary beneficiary of the VIE; accordingly, SCP has been presented on a consolidated basis in the accompanying consolidated financial statements.</w:t>
      </w:r>
    </w:p>
    <w:p>
      <w:pPr>
        <w:spacing w:after="0" w:line="187"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 loss of $3,982, which was recorded within Cost of sales in the Condensed Consolidated Statements of Operations and Comprehensive (Loss) Income. As of March 31, 2026 and December 31, 2025, the Condensed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 includes a receivable, net of $46,511 and $56,632 from the energy trader,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revenue in the Condensed Consolidated Statements of Operations and Comprehensive (Loss) Income includes revenue from sales of LNG and natural gas as well as outputs from the Company’s natural gas-fueled power generation facilities, including power and steam, and the sale of LNG cargos. Included in operating revenue are LNG cargo sales to customers of $43,927 and $182,731 for the three months ended March 31, 2026 and 2025,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the activity in Other revenue: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8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 and maintenance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28,770</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Operation and maintenance revenue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 Amounts recognized in the three months ended March 31, 2026 and 2025 include fixed fees and reimbursement of pass-through expenditures, including payroll expenses of Genera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most customer contracts, invoicing occurs once the Company’s performance obligations have been satisfied, at which point payment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 As of March 31, 2026 and December 31, 2025, receivables related to revenue from contracts with customers totaled $319,333 and $388,683,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were included in Receivables, net on the Condensed Consolidated Balance Sheets, net of current expected credit losses of $17,376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$17,424, respectively. Other items included in Receivables, net that are not related to revenue from contracts with customers represent lease receivables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due under the structured trading operation (Note 5), which are accounted for outside the scope of ASC 606.</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amounts resulting from contracts, in which the performance obligation is satisfied and revenue is recognized while our right to receipt is conditional upon certain considerations. The Company has recognized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contract liabilities, comprised of unconditional payments due or paid under the contracts with customers prior to the Company’s satisfaction of the related performance obligations. The contract assets and contract liabilities balances as of March 31, 2026 and December 31, 2025 are detailed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 -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21,791</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net - non-current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w:t>
            </w:r>
          </w:p>
        </w:tc>
      </w:tr>
      <w:tr>
        <w:trPr>
          <w:trHeight w:val="24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net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net - non-current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48"/>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contract liabilities,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in the year from:</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liabilities at the beginning of the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are presented net of expected credit losses of $293 and $297 as of March 31, 2026 and December 31, 2025, respectively.</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As of March 31, 2026, the Company has capitalized $11,626 of which $1,602 of these costs is presented within Prepaid expenses, net and other current assets, net and $10,024 is presented within Other non-current assets, net on the Condensed Consolidated Balance Sheets. As of December 31, 2025, the Company had capitalized $12,027, of which $1,602 of these costs was presented within Prepaid expenses, net and other current assets, net and $10,425 was presented within Other non-current assets, net on the Condensed Consolidated Balance Sheets.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to the revenue recognized under ASC 606, in the fourth quarter of 2024, the Company novated an LNG supply contract to a customer, and the Company received a payment of $295,558. As this payment was non-refundable and relieved the Company of a portion of its guarantee obligation under this arrangement, these payments were recognized as contract novation income with the revenue caption in the Condensed Consolidated Statements of Operations and Comprehensive (Loss) Income. For the three months ended March 31, 2026 and 2025, the Company recognized $943 and $1,746 of contract novation income, which represents the accretion to the remaining payments that will be made between the third quarter of 2026 and the first quarter of 2028 (Note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multiplied by the outstanding minimum guaranteed volumes. The Company expects to recognize this revenue over the following time periods. The pattern of recognition reflects the minimum guaranteed volumes in each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377,345</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722,971</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711,948</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701,044</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700,394</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7,091,170</w:t>
            </w:r>
          </w:p>
        </w:tc>
      </w:tr>
      <w:tr>
        <w:trPr>
          <w:trHeight w:val="223"/>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10,304,872</w:t>
            </w:r>
          </w:p>
        </w:tc>
      </w:tr>
    </w:tbl>
    <w:p>
      <w:pPr>
        <w:spacing w:after="0" w:line="2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all other sales contracts that have a term exceeding one year, the Company has elected the practical expedient in ASC 606. 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or power. As each unit of LNG, natural gas or power represents a separate performance obligation, future volumes are wholly unsatisfied.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Vessels that are chartered to customers under operating leases are recognized within Vessels in Note 13. Vessels that are accounted for as a failed sale leaseback as of March 31, 2026 and December 31, 2025, including those vessels chartered to third parties, continue to be recognized on the Condensed Consolidated Balance Sheets, and as such, the carrying amount of these vessels that are leased to third parties under long-term operating leases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154,196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154,196</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(40,574)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(38,661)</w:t>
            </w:r>
          </w:p>
        </w:tc>
      </w:tr>
      <w:tr>
        <w:trPr>
          <w:trHeight w:val="248"/>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113,622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115,535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components of lease income from vessel operating leases for the three months ended March 31, 2026 and 2025 are shown below, inclusive of vessels accounted for as a failed sale leaseback.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48"/>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Cash receipts on long-term vessel charters that are part of the failed sale leaseback transaction are received by Energos. As such, future cash receipts from both operating and finance leases were not significant as of March 31, 2026 and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 as lessee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(“ROU”) asset and lease liability.</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ROU assets, current lease liabilities and non-current lease liabilities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228,169</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394,795</w:t>
            </w:r>
          </w:p>
        </w:tc>
      </w:tr>
      <w:tr>
        <w:trPr>
          <w:trHeight w:val="229"/>
        </w:trPr>
        <w:tc>
          <w:tcPr>
            <w:tcW w:w="8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Finance right-of-use-assets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w:t>
            </w:r>
          </w:p>
        </w:tc>
      </w:tr>
      <w:tr>
        <w:trPr>
          <w:trHeight w:val="248"/>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244,823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26,926</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lease liabilities: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259,114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318,118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259,827</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318,819</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Finance lease ROU assets are recorded net of accumulated amortization of $5,229 and $4,860 as of March 31, 2026 and December 31, 2025.</w:t>
      </w:r>
    </w:p>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owner of a vessel under an operating lease repossessed the vessel after the Company failed to make certain lease payments. The lessor subsequently initiated arbitration proceedings seeking damages, fees and costs (Note 18). As the Company no longer has control of the leased asset, the Company impaired the right of use asset, recognizing an impairment charge of $60,597 within Asset impairment expense in the Condensed Consolidated Statements of Operations and Comprehensive (Loss) Income. The associated lease liability remains in full in Non-current lease liabilities on the Condensed Consolidated Balance Sheets as the Company is not relieved of its obligation and further does not expect this matter to be resolved within the next 12 months from the balance sheet date.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Company’s operating lease cost recorded within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(Loss) Income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70"/>
        </w:trPr>
        <w:tc>
          <w:tcPr>
            <w:tcW w:w="7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Cost of sales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Operations and maintenance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Selling, general and administrative</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bl>
    <w:p>
      <w:pPr>
        <w:spacing w:after="0" w:line="2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has capitalized $11,885 and $4,658 of lease costs, respectively. Short-term lease costs for vessels chartered by the Company to transport inventory from a supplier’s facilities to the Company’s storage locations are capitalized to inventory. Capitalized costs include vessels used during the commissioning of development projects.</w:t>
      </w:r>
    </w:p>
    <w:p>
      <w:pPr>
        <w:spacing w:after="0" w:line="176"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The Company has leases of ISO tanks and a parcel of land that are recognized as finance leases. For the three months ended March 31, 2026 and 2025, the Company’s finance interest expense and amortization recorded in Interest expense and Depreciation and amortization, respectively, within the Condensed Consolidated Statements of Operations and Comprehensive (Loss) Income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to finance leases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 related to finance leases</w:t>
            </w: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bl>
    <w:p>
      <w:pPr>
        <w:spacing w:after="0" w:line="2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Cash paid for operating leases is reported in operating activities in the Condensed Consolidated Statements of Cash Flows. Supplemental cash flow information related to leases was as follows for the three months ended March 31, 2026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for operating lease liabilities</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40" w:type="dxa"/>
            <w:vAlign w:val="bottom"/>
            <w:shd w:val="clear" w:color="auto" w:fill="CCEEFF"/>
          </w:tcPr>
          <w:p>
            <w:pPr>
              <w:spacing w:after="0"/>
              <w:rPr>
                <w:sz w:val="19"/>
                <w:szCs w:val="19"/>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outflows for finance lease liabilities</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 w:type="dxa"/>
            <w:vAlign w:val="bottom"/>
          </w:tcPr>
          <w:p>
            <w:pPr>
              <w:spacing w:after="0"/>
              <w:rPr>
                <w:sz w:val="20"/>
                <w:szCs w:val="20"/>
                <w:color w:val="auto"/>
              </w:rPr>
            </w:pPr>
          </w:p>
        </w:tc>
      </w:tr>
      <w:tr>
        <w:trPr>
          <w:trHeight w:val="50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future payments due under operating and finance leases as of March 31, 2026 are as follows: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7380" w:type="dxa"/>
            <w:vAlign w:val="bottom"/>
          </w:tcPr>
          <w:p>
            <w:pPr>
              <w:spacing w:after="0"/>
              <w:rPr>
                <w:sz w:val="24"/>
                <w:szCs w:val="24"/>
                <w:color w:val="auto"/>
              </w:rPr>
            </w:pPr>
          </w:p>
        </w:tc>
        <w:tc>
          <w:tcPr>
            <w:tcW w:w="20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Leases</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remainder of 2026</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40" w:type="dxa"/>
            <w:vAlign w:val="bottom"/>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0" w:type="dxa"/>
            <w:vAlign w:val="bottom"/>
          </w:tcPr>
          <w:p>
            <w:pPr>
              <w:spacing w:after="0"/>
              <w:rPr>
                <w:sz w:val="19"/>
                <w:szCs w:val="19"/>
                <w:color w:val="auto"/>
              </w:rPr>
            </w:pPr>
          </w:p>
        </w:tc>
      </w:tr>
      <w:tr>
        <w:trPr>
          <w:trHeight w:val="223"/>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40" w:type="dxa"/>
            <w:vAlign w:val="bottom"/>
          </w:tcPr>
          <w:p>
            <w:pPr>
              <w:spacing w:after="0"/>
              <w:rPr>
                <w:sz w:val="19"/>
                <w:szCs w:val="19"/>
                <w:color w:val="auto"/>
              </w:rPr>
            </w:pP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9"/>
                <w:szCs w:val="19"/>
                <w:color w:val="auto"/>
              </w:rPr>
            </w:pPr>
          </w:p>
        </w:tc>
      </w:tr>
      <w:tr>
        <w:trPr>
          <w:trHeight w:val="248"/>
        </w:trPr>
        <w:tc>
          <w:tcPr>
            <w:tcW w:w="7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40" w:type="dxa"/>
            <w:vAlign w:val="bottom"/>
          </w:tcPr>
          <w:p>
            <w:pPr>
              <w:spacing w:after="0"/>
              <w:rPr>
                <w:sz w:val="21"/>
                <w:szCs w:val="2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7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lease liability</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40" w:type="dxa"/>
            <w:vAlign w:val="bottom"/>
          </w:tcPr>
          <w:p>
            <w:pPr>
              <w:spacing w:after="0"/>
              <w:rPr>
                <w:sz w:val="19"/>
                <w:szCs w:val="19"/>
                <w:color w:val="auto"/>
              </w:rPr>
            </w:pPr>
          </w:p>
        </w:tc>
      </w:tr>
      <w:tr>
        <w:trPr>
          <w:trHeight w:val="234"/>
        </w:trPr>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0" w:type="dxa"/>
            <w:vAlign w:val="bottom"/>
          </w:tcPr>
          <w:p>
            <w:pPr>
              <w:spacing w:after="0"/>
              <w:rPr>
                <w:sz w:val="20"/>
                <w:szCs w:val="20"/>
                <w:color w:val="auto"/>
              </w:rPr>
            </w:pPr>
          </w:p>
        </w:tc>
      </w:tr>
      <w:tr>
        <w:trPr>
          <w:trHeight w:val="913"/>
        </w:trPr>
        <w:tc>
          <w:tcPr>
            <w:tcW w:w="73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73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As of March 31, 2026, the weighted average remaining lease term for operating leases was 8.9 years and finance leases was 4.8 years. Because the Company generally does not have access to the rate implicit in the lease, the incremental borrowing rate is utilized as the discount rate. The weighted average discount rate associated with operating leases as of March 31, 2026 and December 31, 2025 was 10.2% and 9.7%, respectively. The weighted average discount rate associated with finance leases as of March 31, 2026 and December 31, 2025 was 5.7% and 5.5%,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 management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2024, the Company entered into a series of foreign exchange forward contracts and zero-cost collars to reduce exchange rate risk associated with U.S. dollar borrowings and expected capital expenditures. As of both March 31, 2026 and December 31, 2025, the notional amount of outstanding foreign exchange contracts was approximately $12,900. These instruments are expected to settle through the third quarter of 2026. The amount of loss recognized in Other (income) expense, net in the Condensed Consolidated Statements of Operations and Comprehensive (Loss) Income for the three months ended March 31, 2026 and 2025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Zero-cost collar options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realized and unrealized loss recognized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contingent interest derivative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2024, the Company entered into a side letter with lenders in the Term Loan A Credit Agreement, under which the Company's interest on the Term Loan A would increase by 2% if the lenders demand that the Company pursue a refinancing of the Term Loan A and the Company is not able to successfully refinance as defined in the side letter. This contingent interest feature meets the definition of a derivative and requires bifurcation from the debt host contract. Changes to the fair value of this derivative are recognized within Interest expense, net in the Condensed Consolidated Statements of Operations and Comprehensive (Loss)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uses the market approach when valuing investment in equity securities and foreign exchange forward contracts which are recorded in Prepaid expenses and other current assets, net, Other non-current assets, net, and Other current liabilities on the Condensed Consolidated Balance Sheets as of March 31, 2026 and December 31, 2025.</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uses the income approach for valuing the contingent consideration derivative liabilities and embedded contingent interest derivative. The contingent consideration derivative liabilities represent consideration due to the sellers in asset acquisitions when certain contingent events occur and are recorded within Other current liabilities and Other long-term liabilities based on the timing of expected settlement. The embedded contingent interest derivative represents incremental interest payments due to the lenders when certain contingent events occur and is recorded within Other current liabilities and Other long-term liabilities based on the timing of expected payments.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including those that are measured at fair value, as of March 31, 2026 and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derivative liabilities</w:t>
            </w:r>
          </w:p>
        </w:tc>
        <w:tc>
          <w:tcPr>
            <w:tcW w:w="9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Embedded contingent interest derivative</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70"/>
        </w:trPr>
        <w:tc>
          <w:tcPr>
            <w:tcW w:w="5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0"/>
        </w:trPr>
        <w:tc>
          <w:tcPr>
            <w:tcW w:w="5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derivative liabilities</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234"/>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Embedded contingent interest derivative</w:t>
            </w:r>
          </w:p>
        </w:tc>
        <w:tc>
          <w:tcPr>
            <w:tcW w:w="94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bl>
    <w:p>
      <w:pPr>
        <w:spacing w:after="0" w:line="2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believes the carrying amounts of cash and cash equivalents, accounts receivable and accounts payable approximated their fair value as of March 31, 2026 and December 31, 2025 and are classified as Level 1 within the fair value hierarchy.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table below summarizes the total (gains) for instruments measured at Level 3 in the fair value hierarchy. The (gains) for contingent consideration derivative liabilities and embedded contingent interest derivative are recorded within Other (income) expense, net, and Interest expense, respectively, in the Condensed Consolidated Statements of Operations and Comprehensive (Loss) Income for the three months ended March 31, 2026 and 2025 and are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derivative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contingent interest derivative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had no transfers in or out of Level 3 in the fair value hierarchy. During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2024, the Company sold substantially all of its investment in Energos; this investment had been accounted for as an equity method investment</w:t>
      </w:r>
      <w:r>
        <w:rPr>
          <w:rFonts w:ascii="Arial" w:cs="Arial" w:eastAsia="Arial" w:hAnsi="Arial"/>
          <w:sz w:val="21"/>
          <w:szCs w:val="21"/>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retained an investment in Energos valued at $1,000, which is shown as a Level 3 investment in equity securities in the table above.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Restricted cash</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restricted cash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under the terms of loan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Collateral for letters of credit and performance bonds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Uses of cash proceeds under the BNDES Term Loan, Brazil Financing Notes and PortoCem Debentures (see Note 16) are restricted to certain payments to construct the Company's power plants in Brazil.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Inventory</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inventory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LNG and natural gas inventory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diesel oil inventory, bunker fuel, materials, supplies and other</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Inventory is adjusted to the lower of cost or net realizable value each quarter. Changes in the value of inventory are recorded within Cost of sales in the Condensed Consolidated Statements of Operations and Comprehensive (Loss) Income. No adjustments were recorded during the three months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prepaid expenses and other current assets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Recoverable taxes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(Note 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held in escrow</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receivable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the fourth quarter of 2024, the Company novated an LNG supply contract to a customer. In conjunction with this novation, the Company agreed to guarantee the performance of the LNG supplier. In exchange for this guarantee, the Company will receive payments totaling $126,668 from the counterparty. These payments will be made between the third quarter of 2026 through the first quarter of 2028, and a portion of the discounted value of the payment stream has been recorded as a receivable. The balance has been presented as short-term and long-term based on the expected timing of receipt.</w:t>
      </w:r>
    </w:p>
    <w:p>
      <w:pPr>
        <w:spacing w:after="0" w:line="1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Financing costs include deferred costs associated with the Company’s Revolving Facility. The income tax receivable represents the expected refund resulting from the carryback of foreign tax credits to past tax year. The remaining balance of other current assets as of March 31, 2026 and December 31, 2025 primarily consists of deposits.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Construction in progress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construction in progress activity during the three months ended March 31, 2026 is detailed below:</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3"/>
        </w:trPr>
        <w:tc>
          <w:tcPr>
            <w:tcW w:w="97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 as of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3,593,971</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143,012</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currency translation adjustment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96,293</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placed in service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 as of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3,823,852</w:t>
            </w:r>
          </w:p>
        </w:tc>
      </w:tr>
      <w:tr>
        <w:trPr>
          <w:trHeight w:val="20"/>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of $90,039 and $98,586, inclusive of amortized debt issuance costs, was capitalized for the three months ended March 31, 2026 and 2025, respectively.</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has significant development activities in Latin America, including significant projects in Brazil. Construction in progress relating to BrazilCo was $1,955,219 and $1,770,782 as of March 31, 2026 and December 31, 2025, respectively. The successful completion of these development projects is subject to various risks, such as obtaining government approvals, identifying suitable sites, securing financing and permitting, and ensuring contract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Company’s property, plant and equipment, net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LNG liquefaction facilities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3,264,547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974,105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Terminal and power plant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480,244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pipelines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291,355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facilities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 containers and other equipment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(408,724)</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4,860,875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4,892,737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2026 and 2025 totaled $48,265 and $62,870, respectively, of which $10,343 and $10,401, respectively, is included within Cost of sales in the Condensed Consolidated Statements of Operations and Comprehensive (Loss)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composition of intangible assets as of March 31, 2026 and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5"/>
                <w:szCs w:val="15"/>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5"/>
                <w:szCs w:val="15"/>
                <w:color w:val="auto"/>
              </w:rPr>
            </w:pPr>
          </w:p>
        </w:tc>
        <w:tc>
          <w:tcPr>
            <w:tcW w:w="146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5"/>
                <w:szCs w:val="15"/>
                <w:color w:val="auto"/>
              </w:rPr>
            </w:pPr>
          </w:p>
        </w:tc>
        <w:tc>
          <w:tcPr>
            <w:tcW w:w="13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capacity reserve contract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4"/>
                <w:szCs w:val="14"/>
                <w:color w:val="auto"/>
              </w:rPr>
            </w:pPr>
          </w:p>
        </w:tc>
        <w:tc>
          <w:tcPr>
            <w:tcW w:w="14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4"/>
                <w:szCs w:val="14"/>
                <w:color w:val="auto"/>
              </w:rPr>
            </w:pPr>
          </w:p>
        </w:tc>
        <w:tc>
          <w:tcPr>
            <w:tcW w:w="13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0" w:type="dxa"/>
            <w:vAlign w:val="bottom"/>
          </w:tcPr>
          <w:p>
            <w:pPr>
              <w:spacing w:after="0"/>
              <w:rPr>
                <w:sz w:val="1"/>
                <w:szCs w:val="1"/>
                <w:color w:val="auto"/>
              </w:rPr>
            </w:pPr>
          </w:p>
        </w:tc>
      </w:tr>
      <w:tr>
        <w:trPr>
          <w:trHeight w:val="209"/>
        </w:trPr>
        <w:tc>
          <w:tcPr>
            <w:tcW w:w="34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capacity reserve contract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2026 and 2025 was $2,792 and $3,362, respectively, which were inclusive of reductions in expense for the amortization of unfavorable contract liabilities.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third quarter of 2023, An Bord Pleanála (“ABP”), Ireland’s planning commission, denied the Company's application for the development of an LNG terminal and power plant. The Company challenged this decision, and in September 2024, the High Court of Ireland ruled that the ABP did not have appropriate grounds for the denial of our permit. In March 2025, ABP withdrew their appeal to the September 2024 decision of the High Court of Ireland. ABP is now reconsidering the planning application in accordance with Irish Law. Further, in March 2025, An Coimisiún Pleanála (previously ABP) granted the Company’s application to construct a 600 MW power plant and a separate application to construct the 220 kV electricity interconnect. The Company is able to fuel this power plant via the LNG marine import terminal, if approved, or using gas provided from the Company’s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 As of March 31, 2026 and December 31, 2025, the net book value of permits, development rights and other easements to be used in the development of the Company’s development project in Shannon, Ireland was $36,513 and $37,288,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Accrued liabilities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Accrued liabilities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404,389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litigation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597,776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litigation includes management’s estimate of probable losses for certain legal matters (see Note 18).</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is not currently paying interest under debt instruments that are subject to the RSA (Note 2), increasing the accrued interest balance as of March 31, 2026. These balances will be settled upon completion of the Restructuring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debt consisted of the following:</w:t>
      </w:r>
    </w:p>
    <w:p>
      <w:pPr>
        <w:spacing w:after="0" w:line="239" w:lineRule="exact"/>
        <w:rPr>
          <w:sz w:val="20"/>
          <w:szCs w:val="20"/>
          <w:color w:val="auto"/>
        </w:rPr>
      </w:pPr>
    </w:p>
    <w:tbl>
      <w:tblPr>
        <w:tblLayout w:type="fixed"/>
        <w:tblInd w:w="8320" w:type="dxa"/>
        <w:tblCellMar>
          <w:top w:w="0" w:type="dxa"/>
          <w:left w:w="0" w:type="dxa"/>
          <w:bottom w:w="0" w:type="dxa"/>
          <w:right w:w="0" w:type="dxa"/>
        </w:tblCellMar>
      </w:tblPr>
      <w:tr>
        <w:trPr>
          <w:trHeight w:val="207"/>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420" w:type="dxa"/>
            <w:vAlign w:val="bottom"/>
            <w:vMerge w:val="continue"/>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Corporate debt</w:t>
      </w:r>
    </w:p>
    <w:p>
      <w:pPr>
        <w:sectPr>
          <w:pgSz w:w="11900" w:h="16838" w:orient="portrait"/>
          <w:cols w:equalWidth="0" w:num="1">
            <w:col w:w="11240"/>
          </w:cols>
          <w:pgMar w:left="320" w:top="290"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Secured Notes, due November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Secured Notes, due September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Secured Notes, due March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Revolving Facility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 A, due July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 B, due October 2028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Sale leaseback financing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2,726,693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2,726,109</w:t>
            </w:r>
          </w:p>
        </w:tc>
      </w:tr>
      <w:tr>
        <w:trPr>
          <w:trHeight w:val="257"/>
        </w:trPr>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510,427</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510,162</w:t>
            </w:r>
          </w:p>
        </w:tc>
      </w:tr>
      <w:tr>
        <w:trPr>
          <w:trHeight w:val="256"/>
        </w:trPr>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234,434</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234,244</w:t>
            </w:r>
          </w:p>
        </w:tc>
      </w:tr>
      <w:tr>
        <w:trPr>
          <w:trHeight w:val="257"/>
        </w:trPr>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660,400</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660,400</w:t>
            </w:r>
          </w:p>
        </w:tc>
      </w:tr>
      <w:tr>
        <w:trPr>
          <w:trHeight w:val="256"/>
        </w:trPr>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283,840</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283,320</w:t>
            </w:r>
          </w:p>
        </w:tc>
      </w:tr>
      <w:tr>
        <w:trPr>
          <w:trHeight w:val="257"/>
        </w:trPr>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1,174,518</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1,166,784</w:t>
            </w:r>
          </w:p>
        </w:tc>
      </w:tr>
      <w:tr>
        <w:trPr>
          <w:trHeight w:val="256"/>
        </w:trPr>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73,917</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73,224</w:t>
            </w:r>
          </w:p>
        </w:tc>
      </w:tr>
    </w:tbl>
    <w:p>
      <w:pPr>
        <w:spacing w:after="0" w:line="237" w:lineRule="exact"/>
        <w:rPr>
          <w:sz w:val="20"/>
          <w:szCs w:val="20"/>
          <w:color w:val="auto"/>
        </w:rPr>
      </w:pPr>
    </w:p>
    <w:p>
      <w:pPr>
        <w:sectPr>
          <w:pgSz w:w="11900" w:h="16838" w:orient="portrait"/>
          <w:cols w:equalWidth="0" w:num="2">
            <w:col w:w="7480" w:space="720"/>
            <w:col w:w="3040"/>
          </w:cols>
          <w:pgMar w:left="320" w:top="290"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Financing Obligation, due August 2042</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634,501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Tugboat Financing, due December 2038</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level financing</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PortoCem Debentures, due September 2040</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849,115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BNDES Term Loan, due October 2045</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376,923</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 Financing Notes, due August 2029</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401,070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385,808</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Turbine Financing, due July 2027</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133,687</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EB-5 Loan, due July 2028</w:t>
            </w: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8,287,140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8,178,919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7,073,477</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1,105,442</w:t>
            </w:r>
          </w:p>
        </w:tc>
      </w:tr>
    </w:tbl>
    <w:p>
      <w:pPr>
        <w:spacing w:after="0" w:line="2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Debt is recorded at amortized cost on the Condensed Consolidated Balance Sheets. The fair value of the Company's long-term debt was $5,434,738 and $4,382,841 as of March 31, 2026 and December 31, 2025, respectively, and is classified as Level 2 within the fair value hierarchy.</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outstanding debt balances under the New 2029 Notes, Term Loan B, Term Loan A, and Revolving Facility were classified as current, primarily due to the existing events of default and/or non-</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compliance with covenant requirements as described in Note 2. In addition, the outstanding balances of the 2026 Notes, 2029 Notes, Brazil Financing Notes, PortoCem Debentures, EB-5 Loan and Tugboat Financing are also classified as current due to events of default and/or expected non-compliance with covenant requirements, as discussed in the Company's Annual Report on Form 10-K.</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terms of the Company's debt instruments have been described in the Annual Report on Form 10-K. Significant changes to the Company's outstanding debt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EB-5 Loan Agreement</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2026, the Company did not make the interest payment of $2,375 due under the EB-5 Loan Agreement. An event of default under the EB-5 Loan Agreement arose on January 8, 2026, when the contractual grace period for interest payments on the loans expired. Due to the expected future occurrence of events of defaults, the EB-5 Loan has been classified as a current liability as of March 31, 2026.</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13, 2026, the Company entered into a term sheet with CanAm Texas Regional Center LP. IV., a Delaware limited partnership in respect of the EB-5 Loan Agreement that contemplates, among other things, the incurrence by the Company of a new unsecured note in the aggregate principal amount of $22,500 in exchange for the EB-5 Loan. The new unsecured notes will bear an interest rate of 7.0% per annum, with the option to pay interest in kind, and that matures on December 31, 2029. The execution of this agreement is contingent upon the completion of the Restructuring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Credit Facility</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March 2026, the Company entered into an amendment to the Letter of Credit Facility to extend the maturity date to September 15, 2026. As of March 31, 2026, the Company had $195,559 of letters of credit outstanding under the Letter of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PortoCem Financings</w:t>
      </w:r>
    </w:p>
    <w:p>
      <w:pPr>
        <w:spacing w:after="0" w:line="22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 did not provide the $79,100 bank guarantee that was due to the holders under the PortoCem Debentures (as defined in the Company's Annual Report on Form 10-K) on May 10, 2026. If the Company fails to provide the bank guarantee prior to the expiration of the 45-day cure period, an automatic early maturity event will occur and substantially all of the Company's outstanding indebtedness would be payable on demand. Additionally, other non-financial requirements due on April 30, 2026 were not met, and the debenture holders have the ability to declare an event of early maturity. As of the date of the issuance of these financial statements, the debenture holders have not declared an early maturity event. Nonetheless, the outstanding principal balance of the PortoCem Debentures has been presented as a current liability as of March 31, 2026 as the Company determined that it is not currently probable that the bank guarantee can be provided. Following the completion of the Restructuring Transaction, the Company will no longer own BrazilCo, and the liabilities of BrazilCo, including the PortoCem Debentures will no longer be included in the Company's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months ended March 31, 2026 and 2025 consisted of the following: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per contractual rates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217,414</w:t>
            </w:r>
          </w:p>
        </w:tc>
      </w:tr>
      <w:tr>
        <w:trPr>
          <w:trHeight w:val="229"/>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 Vessel Financing Obligation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w:t>
            </w:r>
          </w:p>
        </w:tc>
      </w:tr>
      <w:tr>
        <w:trPr>
          <w:trHeight w:val="229"/>
        </w:trPr>
        <w:tc>
          <w:tcPr>
            <w:tcW w:w="8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 premiums and discounts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36,151</w:t>
            </w:r>
          </w:p>
        </w:tc>
      </w:tr>
      <w:tr>
        <w:trPr>
          <w:trHeight w:val="230"/>
        </w:trPr>
        <w:tc>
          <w:tcPr>
            <w:tcW w:w="8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 expense incurred on finance lease obligations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98,586</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expense on the Vessel Financing Obligation includes non-cash expense of $22,864 and $22,179 for the three months ended March 31, 2026 and 2025, respectively, related to payments received by Energos from third-party charterers.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was (8.5)% compared to (17.5)% for the three months ended March 31, 2025. The total tax provision for the three months ended March 31, 2026 was $31,541 compared to a provision of $26,068 for the three months ended March 31, 2025. The Company recognized a tax provision on pre-tax losses in the quarter principally from additions to the valuation allowance on U.S. taxable losses, projected pretax earnings in foreign operations as well as expected taxes to be incurred under Pillar Two.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The Company is subject to certain legal and regulatory proceedings, claims and disputes that arise in the ordinary course of business. The Company will recognize a loss contingency when it is probable a liability has been incurred and the amount of the loss can be reasonably estimated. The Company will disclose any loss contingencies that do not meet both conditions if there is a reasonable possibility that a material loss may be incurred. The Company is currently focusing on managing its working capital and liquidity, which has resulted in delays in making payments to certain vendors. While the amounts due to these vendors are recorded on the Condensed Consolidated Balance Sheets, potential legal actions against the Company enforcing payments may result in interest, penalties and/or legal expenses, which may materially affect the Company’s financial position, results of operations or cash flows.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the Company’s results of operations or cash flows for that period or on the Company’s financial condition.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2024, Jamaica Power Service Company Limited (“JPS”) initiated arbitration proceedings claiming damages of approximately $32,900 for use of alternative fuel due to infrastructure changes required by the Port of Montego Bay where the Company’s Montego Bay terminal was located. The Company asserted force majeure under the contract and has made a counterclaim of approximately $7,200. Arbitration proceedings commenced in the first quarter of 2026, and the Company expects this matter to be resolved in 2026. The Company has accrued for the probable loss as of March 31, 2026.</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2024, the Company’s contract to provide temporary power services ended as a result of FEMA not renewing the funding of the temporary power project in Puerto Rico. The Company determined that a force majeure event occurred under the lease agreement with the owner of a portion of the turbines used in this temporary power project and accordingly terminated the turbine lease agreement pursuant to the force majeure termination provisions. The lessor subsequently initiated arbitration proceedings seeking damages, fees and costs up to $46,200 as a result of the termination of the lease and alleged damages suffered by certain of the leased units during operation and decommissioning. The Company has a counterclaim of approximately $6,500. The arbitration proceedings are complete and the Company expects the panel to issue its opinion and any award by June 30, 2026. The Company has accrued for the probable loss as of March 31, 2026.</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owner of a vessel leased by the Company repossessed the vessel after the Company failed to make certain lease payments. The lessor subsequently initiated arbitration proceedings claiming damages of approximately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$85,000 for loss of charter payments for the remaining charter period. The Company has determined that a loss upon conclusion of the arbitration is probable, however, the amount of loss is uncertain. The range of losses does not exceed the lease liability balance recorded for this vessel as of March 31, 2026, and as such, no additional accrual has been recorded.</w:t>
      </w:r>
    </w:p>
    <w:p>
      <w:pPr>
        <w:spacing w:after="0" w:line="17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 the first quarter of 2025, Alunorte Alumina do Norte do Brasil S.A. (“Alunorte”) initiated arbitration proceedings at the International Chamber of Commerce (“ICC”). Alunorte claims it is owed damages for alleged delays by the Company to supply gas at the Barcarena Facility and is claiming damages up to BRL 375,700 (approximately $72,000 using exchange rates as of March 31, 2026). The Company believes Alunorte’s claims are without merit and not supported by the contract between the parties, and as a result the Company plans to vigorously defend itself in these proceedings.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However, due to the inherent difficulty in predicting the outcome of arbitration, the amount of any probable loss is uncertain. The Company has not accrued any probable losses as of March 31, 2026.</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PortoCem is a thermal power plant project originally developed by a third party and later acquired by the Company in 2024. Under its prior ownership, the project was designed for a different location and had executed a CUST, a transmission system usage agreement that establishes rights and obligations for grid connection. As part of the acquisition, the Company redesigned the project to be implemented in Barcarena, Pará, where it could be integrated with the Company’s LNG import and power infrastructure. In 2024, PortoCem submitted a request—approximately two years before the applicable milestones—to relocate the originally approved transmission connection point, and the Brazilian power regulator, ANEEL, subsequently approved this relocation. The change produced no impact on the tariff paid by consumers for transmission use.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2024, despite having approved the new connection point, ANEEL informed PortoCem that certain obligations tied to the original connection point had not been fulfilled and that a penalty of approximately BRL 610,000 ($116,900 using exchange rates in effect as of March 31, 2026) could be imposed under the CUST. PortoCem appealed, and in November 2024, ANEEL suspended imposition of any penalty, which remains in force and prevents enforcement until the ANEEL Board of Directors issues a final decision. During the fourth quarter of 2025, the matter was scheduled to be examined by ANEEL’s Board of Directors, however, as of the date of the issuance of these financial statements, ANEEL’s Board has not rendered a final decision and the outcome remains uncertain. The Company has not accrued any probable losses as of March 31, 2026.</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Company were to receive an unfavorable decision, the matter may still be challenged in the Brazilian courts. Finally, the Company believes that if any penalty is ultimately imposed and enforced by the courts, the original third-party developer of the project is required to indemnify the Company for any losses incurred related to the relocation of the project because the relocation request resulting in any penalty was submitted before the closing of the sale of PortoCem to the Company, thus such regulatory request was filed when PortoCem was controlled by its prior owner. These matters are not expected to be resolved in the near term, and as such, the Company’s ability to collect amounts due under the indemnification obligation are subject to the future condition of the prior owner, which is uncertain. There can be no assurance that the prior owner will have sufficient solvency and financial condition to honor an indemnification obligation.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third quarter of 2025, a contractor under an Engineering, Procurement and Construction (“EPC”) contract initiated arbitration proceedings. The contractor claims that it is owed damages for alleged breach of the EPC contract for the construction of the Barcarena Power Plant by the Company and is claiming damages up to approximately BRL 501,000 ($96,000 using exchange rates as of March 31, 2026). The Company has a counterclaim of approximately BRL 400,100 ($76,660 using exchange rates as of March 31, 2026). The Company believes the plaintiff’s claims are without merit and not supported by the contract between the parties, and as a result the Company plans to vigorously defend itself in these proceedings. However, due to the inherent difficulty in predicting the outcome of arbitration, the amount of any probable loss is uncertain. The Company has not accrued any probable losses as of March 31, 2026.</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Various local communities and organizations in Brazil have made claims against the Company seeking compensation for alleged damages arising out of the Company’s operations in Brazil. The plaintiffs are claiming damages up to BRL 616,300 (approximately $118,100 using exchange rates as of March 31, 2026). The Company believes the plaintiffs’ claims are without merit, and as a result the Company plans to vigorously defend itself in these proceedings. However, due to the inherent difficulty in predicting the outcome of arbitration, the amount of any probable loss is uncertain. The Company has not accrued any probable losses as of March 31, 2026.</w:t>
      </w:r>
    </w:p>
    <w:p>
      <w:pPr>
        <w:spacing w:after="0" w:line="18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September 17, 2024, plaintiff Mikolaj Bojdol filed a putative class action lawsuit in the U.S. District Court for the Southern District of New York against the Company and certain officers alleging violations of Sections 10(b) and 20(a) of the Securities and Exchange Act of 1934 and certain rules promulgated thereunder relating to statements concerning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Company’s FLNG project in Altamira, Mexico. On November 1, 2024, plaintiff Taylor Anderson filed a similar class action lawsuit also in the U.S. District Court for the Southern District of New York. The cases were consolidated and a lead plaintiff was appointed on December 17, 2024. The lead plaintiff filed an amended complaint on February 18, 2025 asserting claims on behalf of persons and entities that purchased the Company’s securities between September 20, 2022 and August 8, 2024 and seeks compensatory damages, interest, fees, and costs. On February 19, 2026, the Court denied the defendants’ motion to dismiss. While the Company believes the claims are without merit, and plans to vigorously defend itself in these proceedings, a loss is reasonably possible. A liability has not been recognized as of March 31, 2026, since the Company is unable to predict the outcome given the significant uncertainty with regard to whether such matters will proceed to trial, among other uncertainties. Therefore, the Company is not in a position to assess the likely outcome, and therefore unable to estimate of the range of possible loss.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Changes in regulatory or other governmental policies may affect the delivery of LNG to our terminals, including our San Juan terminal, which may have an adverse effect on the Company’s financial position, results of operations or cash flows.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has accrued a liability of $52,137 and $52,421, respectively. The liability as of March 31, 2026 represents management’s estimate of probable losses for certain legal matters.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(175,426)</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dividend</w:t>
            </w:r>
          </w:p>
        </w:tc>
        <w:tc>
          <w:tcPr>
            <w:tcW w:w="3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Class A common stock</w:t>
            </w:r>
          </w:p>
        </w:tc>
        <w:tc>
          <w:tcPr>
            <w:tcW w:w="3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(178,182)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3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285,702,846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273,609,766</w:t>
            </w: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57"/>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dividend</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Class A common stock</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3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285,702,846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273,609,766</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9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excluded from the computation of diluted net income per share for the periods presented because its effects would have been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81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Series B convertible preferred stock</w:t>
            </w:r>
            <w:r>
              <w:rPr>
                <w:rFonts w:ascii="Times New Roman" w:cs="Times New Roman" w:eastAsia="Times New Roman" w:hAnsi="Times New Roman"/>
                <w:sz w:val="23"/>
                <w:szCs w:val="23"/>
                <w:color w:val="auto"/>
                <w:vertAlign w:val="superscript"/>
              </w:rPr>
              <w:t>(1)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36,746</w:t>
            </w:r>
          </w:p>
        </w:tc>
      </w:tr>
      <w:tr>
        <w:trPr>
          <w:trHeight w:val="229"/>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Equity Agreement shares</w:t>
            </w:r>
            <w:r>
              <w:rPr>
                <w:rFonts w:ascii="Times New Roman" w:cs="Times New Roman" w:eastAsia="Times New Roman" w:hAnsi="Times New Roman"/>
                <w:sz w:val="23"/>
                <w:szCs w:val="23"/>
                <w:color w:val="auto"/>
                <w:vertAlign w:val="superscript"/>
              </w:rPr>
              <w:t>(2)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26,507,595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1,877,625</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26,507,595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number of unconverted Series B convertible preferred shares as of March 31, 2026 and March 31, 2025, respectively.</w:t>
      </w:r>
    </w:p>
    <w:p>
      <w:pPr>
        <w:spacing w:after="0" w:line="1" w:lineRule="exact"/>
        <w:rPr>
          <w:rFonts w:ascii="Times New Roman" w:cs="Times New Roman" w:eastAsia="Times New Roman" w:hAnsi="Times New Roman"/>
          <w:sz w:val="22"/>
          <w:szCs w:val="22"/>
          <w:color w:val="auto"/>
          <w:vertAlign w:val="superscript"/>
        </w:rPr>
      </w:pPr>
    </w:p>
    <w:p>
      <w:pPr>
        <w:ind w:right="580" w:firstLine="8"/>
        <w:spacing w:after="0" w:line="230"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Class A common stock that would be issued in relation to an agreement to issue shares executed in conjunction with a prior year asset acquisition.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fourth quarter of 2025, the Company granted new equity awards to certain employees that will settle in shares of a subsidiary owning the Company's Brazilian operations. Vesting of the awards is subject to the Brazilian operations meeting certain development milestones as defined in the award agreement. The total expected compensation expense is recognized ratably for each vesting tranche over the respective vesting periods if it is probable that these milestones will be met. Total compensation cost will be recognized over the remaining service period, which is currently expected to conclude in the third quarter of 2027. For the three months ended March 31, 2026, the Company recognized compensation expense of $3,768 associated with this award in Selling, general and administrative in the Condensed Consolidated Statements of Operations and Comprehensive (Loss) Income. This award will vest in shares of an entity owned by BrazilCo, and as such, the Company will no longer recognize compensation expense associated with this award upon completion of the Restructuring Transaction contemplated under the RSA.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services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$152 and $118 for the three months ended March 31, 2026 and 2025, respectively. Costs associated with the Administrative Agreement are included within Selling, general and administrative in the Condensed Consolidated Statements of Operations and Comprehensive (Loss) Income. As of March 31, 2026 and December 31, 2025, $890 and $738 were due to Fortress, respectively.</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administrative services, Mr. Edens owns an aircraft that we charter from a third-party operator for business purposes in the ordinary course of operations. The Company incurred, at aircraft operator rates, charter costs of $941 and $952 for the three months ended March 31, 2026 and 2025, respectively. As of March 31, 2026 and December 31, 2025, $135 and $318 was due to this affiliate,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Fortress affiliated entities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three months ended March 31, 2026 and 2025, $399 and $327 of rent and office related expenses were incurred by these affiliates, respectively. As of March 31, 2026 and December 31, 2025, $4,432 and $4,263 were due from affiliates, respectively.</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In May 2024, this affiliate assigned the office lease to the Company, and after this point, the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longer incurs rent expense with this affiliate. As of March 31, 2026 and December 31, 2025, $3,614 was due to Fortress affiliated entities.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Transaction</w:t>
      </w:r>
    </w:p>
    <w:p>
      <w:pPr>
        <w:spacing w:after="0" w:line="21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Pursuant to the terms of the RSA, upon consummation of the Restructuring Transaction, Wesley R. Edens will purchase from certain of our existing creditors 6,672 shares of CoreCo Convertible Preferred Stock at a price of $250 per share. Subsequent to the execution of the RSA, Mr. Edens purchased approximately $110,000 aggregate principal amount of the loans issued pursuant to the Term Loan A Credit Agreement and is entitled by virtue of his ownership thereof to receive a pro rata portion of the consideration to be received by the lenders under the Term Loan A Credit Agreement pursuant to the Restructuring Transaction.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leases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$78 and $183 during the three months ended March 31, 2026 and 2025, respectively, which was included within Operations and maintenance in the Condensed Consolidated Statements of Operations and Comprehensive (Loss) Income. As of March 31, 2026, the right-of-use balance is $0 (fully impaired during the year ended December 31, 2025) and the lease liability balance is $4,892 on the Condensed Consolidated Balance Sheets. As of December 31, 2025, the Company recorded a right-of-use asset of $0 after recognizing an impairment charge during the year and a lease liability of $4,813 on the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DevTech investment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condensed consolidated financial statements.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March 2025, the Company entered into an agreement to acquire DevTech's 10% non-controlling interest, and concurrently, terminated the consulting arrangement. A cash payment of $950 was made to DevTech, of which $822 was allocated to the value of the acquired shares of the subsidiary. The Company recognized approximately $128 in expense related to the consulting arrangement within Selling, general and administrative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operates in two reportable segments: Terminals and Infrastructure and Ships:</w:t>
      </w:r>
    </w:p>
    <w:p>
      <w:pPr>
        <w:spacing w:after="0" w:line="221" w:lineRule="exact"/>
        <w:rPr>
          <w:sz w:val="20"/>
          <w:szCs w:val="20"/>
          <w:color w:val="auto"/>
        </w:rPr>
      </w:pPr>
    </w:p>
    <w:p>
      <w:pPr>
        <w:ind w:left="660" w:right="16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Terminals and Infrastructure </w:t>
      </w:r>
      <w:r>
        <w:rPr>
          <w:rFonts w:ascii="Times New Roman" w:cs="Times New Roman" w:eastAsia="Times New Roman" w:hAnsi="Times New Roman"/>
          <w:sz w:val="18"/>
          <w:szCs w:val="18"/>
          <w:color w:val="auto"/>
        </w:rPr>
        <w:t>includes the Company’s vertically integrated gas to power solutions, spanning the entire production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 from natural gas procurement and liquefaction to logistics, shipping, facilities and conversion or development of natural gas-fired power generation. Vessels that are utilized in the Company’s terminal, logistics or sub-charter operations are included in this segment.</w:t>
      </w:r>
    </w:p>
    <w:p>
      <w:pPr>
        <w:spacing w:after="0" w:line="170" w:lineRule="exact"/>
        <w:rPr>
          <w:rFonts w:ascii="Times New Roman" w:cs="Times New Roman" w:eastAsia="Times New Roman" w:hAnsi="Times New Roman"/>
          <w:sz w:val="18"/>
          <w:szCs w:val="18"/>
          <w:color w:val="auto"/>
        </w:rPr>
      </w:pPr>
    </w:p>
    <w:p>
      <w:pPr>
        <w:jc w:val="both"/>
        <w:ind w:left="660" w:right="14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Ships </w:t>
      </w:r>
      <w:r>
        <w:rPr>
          <w:rFonts w:ascii="Times New Roman" w:cs="Times New Roman" w:eastAsia="Times New Roman" w:hAnsi="Times New Roman"/>
          <w:sz w:val="18"/>
          <w:szCs w:val="18"/>
          <w:color w:val="auto"/>
        </w:rPr>
        <w:t>includes vessels chartered under long-term arrangements that were part of a historical financing transaction. We exclude such vessels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segment and include them in our Terminals and Infrastructure segment once we begin to use the vessels in our own operations. One vessel is currently included in this segment.</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segment measure.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segment information for the three months ended March 31, 2026 and 2025:</w:t>
      </w:r>
    </w:p>
    <w:p>
      <w:pPr>
        <w:spacing w:after="0" w:line="27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w:t>
            </w:r>
          </w:p>
        </w:tc>
        <w:tc>
          <w:tcPr>
            <w:tcW w:w="1480" w:type="dxa"/>
            <w:vAlign w:val="bottom"/>
          </w:tcPr>
          <w:p>
            <w:pPr>
              <w:spacing w:after="0"/>
              <w:rPr>
                <w:sz w:val="18"/>
                <w:szCs w:val="18"/>
                <w:color w:val="auto"/>
              </w:rPr>
            </w:pP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360" w:type="dxa"/>
            <w:vAlign w:val="bottom"/>
          </w:tcPr>
          <w:p>
            <w:pPr>
              <w:spacing w:after="0"/>
              <w:rPr>
                <w:sz w:val="23"/>
                <w:szCs w:val="2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80" w:type="dxa"/>
            <w:vAlign w:val="bottom"/>
          </w:tcPr>
          <w:p>
            <w:pPr>
              <w:spacing w:after="0"/>
              <w:rPr>
                <w:sz w:val="23"/>
                <w:szCs w:val="23"/>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300" w:type="dxa"/>
            <w:vAlign w:val="bottom"/>
          </w:tcPr>
          <w:p>
            <w:pPr>
              <w:spacing w:after="0"/>
              <w:rPr>
                <w:sz w:val="23"/>
                <w:szCs w:val="23"/>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00" w:type="dxa"/>
            <w:vAlign w:val="bottom"/>
          </w:tcPr>
          <w:p>
            <w:pPr>
              <w:spacing w:after="0"/>
              <w:rPr>
                <w:sz w:val="23"/>
                <w:szCs w:val="23"/>
                <w:color w:val="auto"/>
              </w:rPr>
            </w:pP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50"/>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36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r>
      <w:tr>
        <w:trPr>
          <w:trHeight w:val="25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226,953</w:t>
            </w:r>
          </w:p>
        </w:tc>
      </w:tr>
      <w:tr>
        <w:trPr>
          <w:trHeight w:val="263"/>
        </w:trPr>
        <w:tc>
          <w:tcPr>
            <w:tcW w:w="226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7"/>
        </w:trPr>
        <w:tc>
          <w:tcPr>
            <w:tcW w:w="22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r>
      <w:tr>
        <w:trPr>
          <w:trHeight w:val="257"/>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(28,923)</w:t>
            </w:r>
          </w:p>
        </w:tc>
        <w:tc>
          <w:tcPr>
            <w:tcW w:w="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7,272</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(21,651)</w:t>
            </w: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(21,651)</w:t>
            </w: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10,308,215</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10,394,338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10,394,338</w:t>
            </w:r>
          </w:p>
        </w:tc>
      </w:tr>
      <w:tr>
        <w:trPr>
          <w:trHeight w:val="221"/>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segmental financial</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24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143,103</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143,103</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143,103</w:t>
            </w:r>
          </w:p>
        </w:tc>
      </w:tr>
    </w:tbl>
    <w:p>
      <w:pPr>
        <w:spacing w:after="0" w:line="3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3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Consolidation</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1"/>
        </w:trPr>
        <w:tc>
          <w:tcPr>
            <w:tcW w:w="2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433,673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472,282</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1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107,789</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12,528,205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13,082,391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13,082,391</w:t>
            </w:r>
          </w:p>
        </w:tc>
        <w:tc>
          <w:tcPr>
            <w:tcW w:w="0" w:type="dxa"/>
            <w:vAlign w:val="bottom"/>
          </w:tcPr>
          <w:p>
            <w:pPr>
              <w:spacing w:after="0"/>
              <w:rPr>
                <w:sz w:val="1"/>
                <w:szCs w:val="1"/>
                <w:color w:val="auto"/>
              </w:rPr>
            </w:pPr>
          </w:p>
        </w:tc>
      </w:tr>
      <w:tr>
        <w:trPr>
          <w:trHeight w:val="20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segmental financial</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324,138</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significant expense categories and amounts align with the segment-level information that is regularly provided to the CODM.</w:t>
      </w:r>
    </w:p>
    <w:p>
      <w:pPr>
        <w:spacing w:after="0" w:line="165"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Capital expenditures includes amounts capitalized to construction in progress and additions to property, plant and equipment during the period.</w:t>
      </w:r>
    </w:p>
    <w:p>
      <w:pPr>
        <w:spacing w:after="0" w:line="197" w:lineRule="exact"/>
        <w:rPr>
          <w:rFonts w:ascii="Times New Roman" w:cs="Times New Roman" w:eastAsia="Times New Roman" w:hAnsi="Times New Roman"/>
          <w:sz w:val="22"/>
          <w:szCs w:val="22"/>
          <w:color w:val="auto"/>
          <w:vertAlign w:val="superscript"/>
        </w:rPr>
      </w:pPr>
    </w:p>
    <w:p>
      <w:pPr>
        <w:ind w:right="360" w:firstLine="8"/>
        <w:spacing w:after="0" w:line="226" w:lineRule="auto"/>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sales is presented exclusive of costs included in Depreciation and amortization in the Condensed Consolidated Statements of Operations and Comprehensive (Loss) Income.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Segment Operating Margin is defined as net (loss) income, adjusted for selling, general and administrative expenses, transaction and integration costs, depreciation and amortization, asset impairment expenses, (gain) loss on sale of assets, interest expense, other (income) expense, net, loss on extinguishment of debt, net, and tax (benefit)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the most comparable financial statement measure, to Consolidated Segment Operating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r>
      <w:tr>
        <w:trPr>
          <w:trHeight w:val="25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(175,426)</w:t>
            </w:r>
          </w:p>
        </w:tc>
        <w:tc>
          <w:tcPr>
            <w:tcW w:w="100" w:type="dxa"/>
            <w:vAlign w:val="bottom"/>
            <w:shd w:val="clear" w:color="auto" w:fill="CCEEFF"/>
          </w:tcPr>
          <w:p>
            <w:pPr>
              <w:spacing w:after="0"/>
              <w:rPr>
                <w:sz w:val="22"/>
                <w:szCs w:val="22"/>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51,820</w:t>
            </w:r>
          </w:p>
        </w:tc>
        <w:tc>
          <w:tcPr>
            <w:tcW w:w="100" w:type="dxa"/>
            <w:vAlign w:val="bottom"/>
            <w:shd w:val="clear" w:color="auto" w:fill="CCEEFF"/>
          </w:tcPr>
          <w:p>
            <w:pPr>
              <w:spacing w:after="0"/>
              <w:rPr>
                <w:sz w:val="22"/>
                <w:szCs w:val="22"/>
                <w:color w:val="auto"/>
              </w:rPr>
            </w:pPr>
          </w:p>
        </w:tc>
      </w:tr>
      <w:tr>
        <w:trPr>
          <w:trHeight w:val="257"/>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tcPr>
          <w:p>
            <w:pPr>
              <w:spacing w:after="0"/>
              <w:rPr>
                <w:sz w:val="22"/>
                <w:szCs w:val="22"/>
                <w:color w:val="auto"/>
              </w:rPr>
            </w:pPr>
          </w:p>
        </w:tc>
      </w:tr>
      <w:tr>
        <w:trPr>
          <w:trHeight w:val="257"/>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100" w:type="dxa"/>
            <w:vAlign w:val="bottom"/>
            <w:shd w:val="clear" w:color="auto" w:fill="CCEEFF"/>
          </w:tcPr>
          <w:p>
            <w:pPr>
              <w:spacing w:after="0"/>
              <w:rPr>
                <w:sz w:val="22"/>
                <w:szCs w:val="22"/>
                <w:color w:val="auto"/>
              </w:rPr>
            </w:pPr>
          </w:p>
        </w:tc>
      </w:tr>
      <w:tr>
        <w:trPr>
          <w:trHeight w:val="257"/>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2"/>
                <w:szCs w:val="22"/>
                <w:color w:val="auto"/>
              </w:rPr>
            </w:pPr>
          </w:p>
        </w:tc>
      </w:tr>
      <w:tr>
        <w:trPr>
          <w:trHeight w:val="256"/>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200,309</w:t>
            </w:r>
          </w:p>
        </w:tc>
        <w:tc>
          <w:tcPr>
            <w:tcW w:w="100" w:type="dxa"/>
            <w:vAlign w:val="bottom"/>
            <w:shd w:val="clear" w:color="auto" w:fill="CCEEFF"/>
          </w:tcPr>
          <w:p>
            <w:pPr>
              <w:spacing w:after="0"/>
              <w:rPr>
                <w:sz w:val="22"/>
                <w:szCs w:val="22"/>
                <w:color w:val="auto"/>
              </w:rPr>
            </w:pPr>
          </w:p>
        </w:tc>
      </w:tr>
      <w:tr>
        <w:trPr>
          <w:trHeight w:val="257"/>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100" w:type="dxa"/>
            <w:vAlign w:val="bottom"/>
          </w:tcPr>
          <w:p>
            <w:pPr>
              <w:spacing w:after="0"/>
              <w:rPr>
                <w:sz w:val="22"/>
                <w:szCs w:val="22"/>
                <w:color w:val="auto"/>
              </w:rPr>
            </w:pPr>
          </w:p>
        </w:tc>
      </w:tr>
      <w:tr>
        <w:trPr>
          <w:trHeight w:val="257"/>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r>
      <w:tr>
        <w:trPr>
          <w:trHeight w:val="257"/>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provision</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100" w:type="dxa"/>
            <w:vAlign w:val="bottom"/>
            <w:tcBorders>
              <w:bottom w:val="single" w:sz="8" w:color="CCEEFF"/>
            </w:tcBorders>
          </w:tcPr>
          <w:p>
            <w:pPr>
              <w:spacing w:after="0"/>
              <w:rPr>
                <w:sz w:val="22"/>
                <w:szCs w:val="22"/>
                <w:color w:val="auto"/>
              </w:rPr>
            </w:pPr>
          </w:p>
        </w:tc>
      </w:tr>
      <w:tr>
        <w:trPr>
          <w:trHeight w:val="24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Segment Operating Margin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107,789</w:t>
            </w:r>
          </w:p>
        </w:tc>
        <w:tc>
          <w:tcPr>
            <w:tcW w:w="100" w:type="dxa"/>
            <w:vAlign w:val="bottom"/>
            <w:tcBorders>
              <w:bottom w:val="single" w:sz="8" w:color="auto"/>
            </w:tcBorders>
            <w:shd w:val="clear" w:color="auto" w:fill="CCEEFF"/>
          </w:tcPr>
          <w:p>
            <w:pPr>
              <w:spacing w:after="0"/>
              <w:rPr>
                <w:sz w:val="21"/>
                <w:szCs w:val="2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Energos Restructuring Support Agreement</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On March 8, 2026, the Company entered into a restructuring support agreement with Energos, which was further amended on March 17, 2026 (“Energos RSA”). The Energos RSA, among other things, reduces the hire rates for </w:t>
      </w:r>
      <w:r>
        <w:rPr>
          <w:rFonts w:ascii="Times New Roman" w:cs="Times New Roman" w:eastAsia="Times New Roman" w:hAnsi="Times New Roman"/>
          <w:sz w:val="18"/>
          <w:szCs w:val="18"/>
          <w:i w:val="1"/>
          <w:iCs w:val="1"/>
          <w:color w:val="auto"/>
        </w:rPr>
        <w:t>Energos Maria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Energos Princess</w:t>
      </w:r>
      <w:r>
        <w:rPr>
          <w:rFonts w:ascii="Times New Roman" w:cs="Times New Roman" w:eastAsia="Times New Roman" w:hAnsi="Times New Roman"/>
          <w:sz w:val="18"/>
          <w:szCs w:val="18"/>
          <w:color w:val="auto"/>
        </w:rPr>
        <w:t xml:space="preserve"> and cancel and terminates the Company’s forward starting charter agreement for </w:t>
      </w:r>
      <w:r>
        <w:rPr>
          <w:rFonts w:ascii="Times New Roman" w:cs="Times New Roman" w:eastAsia="Times New Roman" w:hAnsi="Times New Roman"/>
          <w:sz w:val="18"/>
          <w:szCs w:val="18"/>
          <w:i w:val="1"/>
          <w:iCs w:val="1"/>
          <w:color w:val="auto"/>
        </w:rPr>
        <w:t>Nusantara Regas Satu</w:t>
      </w:r>
      <w:r>
        <w:rPr>
          <w:rFonts w:ascii="Times New Roman" w:cs="Times New Roman" w:eastAsia="Times New Roman" w:hAnsi="Times New Roman"/>
          <w:sz w:val="18"/>
          <w:szCs w:val="18"/>
          <w:color w:val="auto"/>
        </w:rPr>
        <w:t>. This restructuring support agreement will become effective upon completion of the Restructuring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Turbine Sale-Leaseback Transaction</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1, 2026, the Company, entered into an Asset Purchase Agreement (the “Purchase Agreement”) and Master Lease Agreement (the “Turbine Lease”), pursuant to which the parties agreed to consummate a sale and leaseback transaction with respect to certain turbines. On April 1, 2026, the Company completed the sale of these turbines with a carrying value of $159,750 for a purchase price of $265,883. The Turbine Lease has a 10-year term, which is expected to begin on July 1, 2026. The Company used the net proceeds from the transaction to repay certain indebtedness and provide additional liquidity.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Bridge Credit Agreement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14, 2026, NFE Brazil Holdings Limited (“NFE Brazil Holdings”), an indirect subsidiary of NFE, entered into a credit agreement (the “Brazil Bridge Credit Agreement”) for a senior secured, multiple draw term loan facility of $50,000 (the “Brazil Bridge Term Loan Facility”). The Brazil Bridge Term Loan Facility bears interest at a rate of 10% per annum, which will be paid-in-kind. The Brazil Bridge Term Loan Facility is expected to be repaid in full with proceeds from a senior secured note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BrazilCo Notes due 2029</w:t>
      </w:r>
    </w:p>
    <w:p>
      <w:pPr>
        <w:spacing w:after="0" w:line="22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May 11, 2026, NFE Brazil Financing Limited ("NFE Brazil"), an indirect subsidiary of NFE, entered into a commitment letter, which provides commitments for a proposed offering of $885,000 aggregate principal amount of senior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secured notes due 2029 to be issued by NFE Brazil. The notes will bear interest at a rate of 12.00% per annum, payable in kind semi-annually on May 15 and November 15, and will mature three years from the issue date.</w:t>
      </w:r>
    </w:p>
    <w:p>
      <w:pPr>
        <w:spacing w:after="0" w:line="16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NFE Brazil intends to use the net proceeds from the offering for (i) operations, capital expenditures, working capital, letter of credit and similar needs, transaction costs, and payment in full of all trade payables owed to NFE as of the issue date, (ii) to refinance the existing Brazil Bridge Term Loan Facility,</w:t>
      </w:r>
    </w:p>
    <w:p>
      <w:pPr>
        <w:spacing w:after="0" w:line="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certain existing Brazil Financing Notes, and (iv) to fund certain cash reserves established in connection with the Restructuring Plan.</w:t>
      </w:r>
    </w:p>
    <w:p>
      <w:pPr>
        <w:spacing w:after="0" w:line="200" w:lineRule="exact"/>
        <w:rPr>
          <w:rFonts w:ascii="Times New Roman" w:cs="Times New Roman" w:eastAsia="Times New Roman" w:hAnsi="Times New Roman"/>
          <w:sz w:val="18"/>
          <w:szCs w:val="18"/>
          <w:color w:val="auto"/>
        </w:rPr>
      </w:pPr>
    </w:p>
    <w:p>
      <w:pPr>
        <w:spacing w:after="0" w:line="39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“Part 1, Item 1A. Risk Factors” and “Cautionary Statement on Forward-Looking Statements” elsewhere in this Quarterly Report on Form 10-Q (“Quarterly Report”) and under similar headings in the Annual Report on Form 10-K for the year ended December 31, 2025 (our “Annual Report”) for a discussion of important factors that could cause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18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“Company,” “NFE,” “we,” “our,” “us” or like terms refer to New Fortress Energy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part of preparing the financial statements included in this Quarterly Report, we have evaluated whether conditions exist that give rise to substantial doubt as to our ability to continue as a going concern. Due to the events of default under our debt agreements detailed below, management has concluded that there is substantial doubt as to our ability to continue as a going concern. On March 17, 2026, we entered into the RSA with certain lenders and noteholders under each of these facilities, and upon completion of the transactions contemplated in this agreement, we expect to have a new capital structure and the current debt facilities in default will no longer be outstanding. Existing and potential events of default include missed interest payments under the New 2029 Notes, Term Loan B Credit Agreement, Term Loan A Credit Agreement, 2026 Notes, 2029 Notes and Revolving Credit Agreement and other Specified Defaults (as defined in the RSA), as described in the RSA, which are subject to forbearance in accordance with the RSA.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Support Agreement and Restructuring Transaction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response to the Company’s ongoing liquidity challenges, and the events of default under the Company’s indentures and credit agreement, on March 17, 2026, the Company entered into a RSA with the Supporting Creditors, including a majority of the holders of the New 2029 Notes, a majority of the lenders under the Term Loan B Credit Agreement and a majority of the lenders under the Revolving Facility. The RSA provides a framework for a comprehensive restructuring transaction designed to address the Company’s capital structure and restore financial stability. Under the terms of the RSA, the holders of the New 2029 Notes, holders of debt under the R-2 Revolving Credit Facility and the holders of the debt under the Term Loan A Credit Agreement, as applicable, will receive 100% of the common equity interests of NFE Brazil Holdings, the parent company of NFE’s Brazil business expected to be separated in connection with the restructuring. In addition, the Supporting Creditors will receive one or a combination of the following: senior secured term loans, non-recourse term loans secured by the Company’s Fast LNG assets, shares of a new class of NFE’s preferred stock as well as shares of NFE’s Class A common stock, and shares of FLNG 2 preferred stock. Certain lenders have also agreed to provide the Company with incremental funding in exchange for additional term loans or additional letter of credit facility capacity to support ongoing operations and liquidity needs.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Restructuring Transaction, NFE expects to divest its Brazil business, including the Barcarena Facility, Barcarena Power Plant, Santa Catarina Facility, and PortoCem Power Plant. The effectuation of the restructuring will result in a significant reduction of the Company’s outstanding debt and annual interest expense, as the debt facilities currently in default will no longer be outstanding. The Company’s future business will be focused on operational efficiency of its remaining facilities and the cost-effective completion of in-process development projects, with the objective of returning to profitability and generating shareholder value. However, the consummation of the Restructuring Transaction is subject to a number of conditions and approvals, some of which are outside the Company’s control, and there can be no assurance that the transactions will be completed as contemplated. If the restructuring is not successfully implemented, the Company would be required or compelled to pursue alternative in-court restructuring initiatives to preserve value, which would have a material adverse impact on stakeholders and likely result in no recovery to stockholders.</w:t>
      </w:r>
    </w:p>
    <w:p>
      <w:pPr>
        <w:spacing w:after="0" w:line="19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further discussion of the RSA, the Restructuring Plans and the Restructuring Transaction, see Note 2 of our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Collectively, our assets and operations reinforce global energy security, enable economic growth, enhance environmental stewardship and transform local industries and communities around the world.</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 makes resource allocation decisions and assesses performance on the basis of two operating segments, Terminals and Infrastructure and Ships.</w:t>
      </w:r>
    </w:p>
    <w:p>
      <w:pPr>
        <w:spacing w:after="0" w:line="162"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Our Terminals and Infrastructure segment includes the entire production and delivery chain from natural gas procurement and liquefaction to logistics, shipping, facilities and conversion or development of natural gas-fired power generation. Our first floating liquefaction unit, which we refer to as “FLNG 1”, began producing LNG in July 2024, and we source a significant portion of our LNG needs from this facility. Currently, demand for LNG above FLNG 1’s capacity is acquired from third-party suppliers in open market purchases. Starting in 2027, we expect to meet this demand under long-term supply contracts, which are based on an index such as Henry Hub plus a fixed fee component. The Terminals and Infrastructure segment includes all terminal operations in Puerto Rico, Mexico and Brazil, as well as vessels utilized in our terminal or logistics operations. We centrally manage our LNG supply and the deployment of our vessels utilized in our terminal, logistics or sub-charter operations, which allows us to optimally manage our LNG supply and fleet.</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Ships segment currently includes one vessel which is currently chartered under a long-term arrangement to a third party and is part of the Energos Formation Transaction (defined below). Vessels that have been in our Ships segment transitioned to the Terminals and Infrastructure segment once we began to utilize the vessels in our own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 – Terminals and Infrastructure</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management team has successfully employed our strategy to secure long-term contracts with significant customers, including,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 Juan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industrial end-user customers in Puerto Rico.</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December 2025, we were awarded a new 7-year gas supply agreement with PREPA to deliver up to 75 TBtu of natural gas annually from our San Juan Facility. The new contract establishes security of supply in San Juan for power plants currently running on natural gas and also provides for incremental natural gas volumes to be delivered, allowing for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conversion of additional gas-ready plants currently burning diesel. We do not expect to have to incur significant capital expenditures to be able to supply these additional locations.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continue to provide operation and maintenance services for PREPA’s thermal generation assets through our wholly-owned subsidiary, Genera PR LLC ("Genera"), with the goal of reducing costs and improving reliability of power generation in Puerto Rico. The service period under the contract commenced on July 1, 2023, and we receive an annual management fee for the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 Paz Facility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 MW of power. We placed the La Paz Power Plant into service in the third quarter of 2023.</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the third quarter of 2024, we executed an amendment to the gas sales agreement to multiple CFE power generation facilities in Baja California Sur on a take-or-pay basis that extended the term to ten years from November 3, 2024, and amended the annual minimum volumes.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Santa Catarina Facility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placed our Santa Catarina Facility in service in the fourth quarter of 2024. The Santa Catarina Facility is located on the southern coast of Brazil.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 In March 2026, the Company entered into a term sheet to lease its Santa Catarina Facility to a third party that is expected to commence in August 2026.</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August 2024, we acquired 100% of the outstanding equity interest of Usina Termeletrica de Lins S.A. (“Lins”), which owns key rights and permits to develop a natural gas-fired power plant for up to 2.05 GW located in the State of São Paulo, within the city limits of Lins. The Santa Catarina Facility will supply natural gas to the Lins power project, and is expected to commence operations in 2031.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effectuation of the Restructuring Transaction, we expect to no longer own BrazilCo, including the Santa Catarina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FLNG 1</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first Fast LNG unit (“FLNG 1”) has been deployed off the coast of Altamira, Tamaulipas, Mexico. The 1.4 million ton per annum (“MTPA”) FLNG unit utilizes CFE’s firm pipeline transportation capacity on the Sur de Texas-Tuxpan Pipeline to receive feedgas volumes. This first FLNG unit has been fully commissioned, and we are in the process of increasing available liquefaction capacity through optimization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LNG Supply and Cargo Sales</w:t>
      </w:r>
    </w:p>
    <w:p>
      <w:pPr>
        <w:spacing w:after="0" w:line="2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NFE provides reliable, affordable and clean energy supplies to customers around the world, and we currently satisfy customer demand with production from FLNG 1, which we expect to generate up to 70 TBtus annually. We have binding contracts for LNG volumes from two separate U.S. LNG facilities, each with a 20-year term, which are expected to commence in 2027 and 2029. Additional LNG needed to supply expansion of our operations in Puerto Rico and/or our Nicaragua Power Plant will be provided by open market purchases until the commencement of these LNG supply contracts.</w:t>
      </w:r>
    </w:p>
    <w:p>
      <w:pPr>
        <w:spacing w:after="0" w:line="16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Geopolitical events have substantially impacted and may continue to impact the natural gas and LNG markets, which have experienced significant volatility in recent years. Our pricing in contracts with customers is largely based on the Henry Hub index price plus a fixed fee component. 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exposes us to volatility in LNG pricing.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 – Ships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shipping assets include Floating Storage and Regasification Units (“FSRUs”), Floating Storage Units (“FSUs”) and LNG carriers (“LNGCs”). Our shipping assets are included in both of our operating segments. One vessel is currently chartered to a third party under a long-term arrangement which was part of the Energos Formation Transaction (defined below); and is included in our Ships segment. Vessels we operate at our terminal operations or that we decide to sub-charter are included in our Terminals and Infrastructure segment.</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2022, we completed a transaction (the “Energos Formation Transaction”) with an affiliate of Apollo Global Management, Inc., pursuant to which we transferred ownership of eleven vessels to Energos in exchange for approximately $1.85 billion in cash and a 20% equity interest in Energos. Ten of the vessels were subject to current or future charters with NFE and one vessel (the </w:t>
      </w:r>
      <w:r>
        <w:rPr>
          <w:rFonts w:ascii="Times New Roman" w:cs="Times New Roman" w:eastAsia="Times New Roman" w:hAnsi="Times New Roman"/>
          <w:sz w:val="18"/>
          <w:szCs w:val="18"/>
          <w:i w:val="1"/>
          <w:iCs w:val="1"/>
          <w:color w:val="auto"/>
        </w:rPr>
        <w:t>Nanook</w:t>
      </w:r>
      <w:r>
        <w:rPr>
          <w:rFonts w:ascii="Times New Roman" w:cs="Times New Roman" w:eastAsia="Times New Roman" w:hAnsi="Times New Roman"/>
          <w:sz w:val="18"/>
          <w:szCs w:val="18"/>
          <w:color w:val="auto"/>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we completed a transaction with Energos, pursuant to which the Company early terminated the long-term charter agreements with Energos for </w:t>
      </w:r>
      <w:r>
        <w:rPr>
          <w:rFonts w:ascii="Times New Roman" w:cs="Times New Roman" w:eastAsia="Times New Roman" w:hAnsi="Times New Roman"/>
          <w:sz w:val="18"/>
          <w:szCs w:val="18"/>
          <w:i w:val="1"/>
          <w:iCs w:val="1"/>
          <w:color w:val="auto"/>
        </w:rPr>
        <w:t>Energos Eskimo, Energos Winter, Energos Igloo and Energos Freeze</w:t>
      </w:r>
      <w:r>
        <w:rPr>
          <w:rFonts w:ascii="Times New Roman" w:cs="Times New Roman" w:eastAsia="Times New Roman" w:hAnsi="Times New Roman"/>
          <w:sz w:val="18"/>
          <w:szCs w:val="18"/>
          <w:color w:val="auto"/>
        </w:rPr>
        <w:t xml:space="preserve"> and novated associated sub-charter agreements for these vessels to Energos, in exchange for cash consideration of $150.0 million. This transaction resulted in the sale of these vessels that were previously accounted for as a failed sale leaseback. The Company no longer recognizes charter revenues and vessel operating expenses associated with these vessels.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Projects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projects currently under development include our development of a second modular liquefaction facility to provide a source of low-cost supply of LNG to customers around the world through our Fast LNG technologies; our LNG terminal (“Barcarena Facility”) and power plants located in Pará, Brazil; our LNG terminal facility and power plant in Puerto Sandino, Nicaragua (“Puerto Sandino Facility”); and our LNG terminal and power plant in Ireland (“Ireland Facility”). Subsequent to the Restructuring Transaction, we will focus on operational efficiency of our current facilities and cost-effective completion of in-process development projects.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describe each of our current development projects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LNG</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Following the completion of the Restructuring Transaction, we do not plan to incur significant capital expenditures to develop our second 1.4 MTPA Fast LNG unit (“FLNG 2”). We are in active discussions with third parties to co-develop FLNG 2, which is expected to take approximately 24 months to complete from the time our partner is engaged. Estimated cost to complete is uncertain and is dependent upon final design and engineering, but we currently expect the remaining cost to be between $750.0 million and $1,500.0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Barcarena Facility</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Barcarena Facility consists of an FSRU and associated infrastructure, including mooring and 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 We have substantially completed our Barcarena Facility and are in process of final commissioning.</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Barcarena Facility will also supply our new 630 MW combined cycle natural gas-fired power plant located in Pará, Brazil (the “Barcarena Power Plant”). The power plant is fully contracted under multiple 25-year power purchase agreements to supply electricity to the national electricity grid. We expect to place the Barcarena Power Plant into service in the second quarter of 2026.</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March 2024, we closed the acquisition of PortoCem Geração de Energia S.A. (“PortoCem”), a wholly-owned subsidiary of Ceiba Fundo de Investimento em Participações Multiestratégia- Investimento no Exterior (“Ceiba Energy”). PortoCem is the owner of a 15-year 1.6 GW capacity reserve contract in Brazil. We have transferred the 1.6 GW capacity reserve contract to a site owned by NFE that is adjacent to the Barcarena Facility, where NFE is building the 1.6 GW simple cycle, natural gas-fired power plant (“PortoCem Power Plant”) to supply the capacity reserve contract using gas from the Barcarena Facility. We expect the PortoCem Power Plant to be completed in 2026.</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Upon effectuation of the Restructuring Transaction, we expect to no longer own BrazilCo, including the Barcarena Facility, Barcarena Power Plant and PortoCem Power Plant.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Puerto Sandino Facility</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developing an offshore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 purchase agreement. Construction of the power plant is substantially complete, and we expect to complete the construction of the terminal and commission both the terminal and the power plant during first half of 2027. As part of our long-term strategy, we are also evaluating solutions to optimize power generation and delivery to other markets, connected to our power plant through a regional transmission 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 Facility</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the third quarter of 2023, An Bord Pleanála (“ABP”), Ireland’s planning commission, denied our application for the development of an LNG terminal and power plant. We challenged this decision, and in September 2024, the High Court of Ireland ruled that ABP did not have appropriate grounds for the denial of our permit. In March 2025, ABP withdrew their appeal to the September 2024 decision of the High Court of Ireland. ABP is now reconsidering our planning application in accordance with Irish Law.</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Further, in March 2025, ABP granted our application to construct a 600 MW power plant and a separate application to construct the 220 kV electricity interconnect. We are able to fuel this power plant via our LNG marine import terminal, if approved, or using gas provided from our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Support Agreement and Restructuring Transaction</w:t>
      </w:r>
    </w:p>
    <w:p>
      <w:pPr>
        <w:spacing w:after="0" w:line="22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March 17, 2026, NFE entered into the RSA with the Supporting Creditors. Under the RSA, the Supporting Creditors agree to support the Restructuring Transaction, which involves a comprehensive restructuring of the Company’s principal funded debt obligations. For further discussion on the RSA, the Restructuring Plans and the Restructuring Transaction, see Note 2 of our condensed consolidated financial statements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 June 18, 2020, we received an order from the Federal Energy Regulatory Commission ("FERC"), which asked us to explain why our San Juan Facility is not subject to FERC’s jurisdiction under section 3 of the NGA. Because we do not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("D.C. Circuit") on June 14, 2022. In order to comply with the FERC’s directive, on September 15, 2021, we filed an application for authorization to operate the San Juan Facility, which remains pending.</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 On September 19, 2025, the D.C. Circuit denied a petition challenging this FERC order, holding that the order reflected an unreviewable exercise of enforcement discretion rather than a de facto authorization for construction or operation. The deadline to seek a writ of certiorari from that decision has expired.</w:t>
      </w:r>
    </w:p>
    <w:p>
      <w:pPr>
        <w:spacing w:after="0" w:line="189" w:lineRule="exact"/>
        <w:rPr>
          <w:sz w:val="20"/>
          <w:szCs w:val="20"/>
          <w:color w:val="auto"/>
        </w:rPr>
      </w:pPr>
    </w:p>
    <w:p>
      <w:pPr>
        <w:ind w:right="160" w:firstLine="324"/>
        <w:spacing w:after="0" w:line="271" w:lineRule="auto"/>
        <w:rPr>
          <w:sz w:val="20"/>
          <w:szCs w:val="20"/>
          <w:color w:val="auto"/>
        </w:rPr>
      </w:pPr>
      <w:r>
        <w:rPr>
          <w:rFonts w:ascii="Times New Roman" w:cs="Times New Roman" w:eastAsia="Times New Roman" w:hAnsi="Times New Roman"/>
          <w:sz w:val="17"/>
          <w:szCs w:val="17"/>
          <w:color w:val="auto"/>
        </w:rPr>
        <w:t>On September 26, 2024, the United States Coast Guard ("USCG") filed a Letter of Recommendation ("LOR")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and are working collaboratively with the USCG to obtain a new LOR to FERC in support of our operations, which we expect to be imminently forthcoming. In concert with our collaboration with the USCG regarding our new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spacing w:after="0" w:line="17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Three Months Ended December 31, 2025 and Three Months Ended March 31, 2025</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18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below present our segment information for the three months ended March 31, 2026, December 31, 2025 and March 31, 2025:</w:t>
      </w:r>
    </w:p>
    <w:p>
      <w:pPr>
        <w:spacing w:after="0" w:line="3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Ships</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Segment</w:t>
            </w: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Pr>
          <w:p>
            <w:pPr>
              <w:spacing w:after="0"/>
              <w:rPr>
                <w:sz w:val="12"/>
                <w:szCs w:val="12"/>
                <w:color w:val="auto"/>
              </w:rPr>
            </w:pPr>
          </w:p>
        </w:tc>
        <w:tc>
          <w:tcPr>
            <w:tcW w:w="1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2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Vessel operating expenses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Operations and maintenance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(28,923)</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(21,651)</w:t>
            </w:r>
          </w:p>
        </w:tc>
        <w:tc>
          <w:tcPr>
            <w:tcW w:w="0" w:type="dxa"/>
            <w:vAlign w:val="bottom"/>
          </w:tcPr>
          <w:p>
            <w:pPr>
              <w:spacing w:after="0"/>
              <w:rPr>
                <w:sz w:val="1"/>
                <w:szCs w:val="1"/>
                <w:color w:val="auto"/>
              </w:rPr>
            </w:pPr>
          </w:p>
        </w:tc>
      </w:tr>
      <w:tr>
        <w:trPr>
          <w:trHeight w:val="588"/>
        </w:trPr>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(62,733)</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0" w:type="dxa"/>
            <w:vAlign w:val="bottom"/>
          </w:tcPr>
          <w:p>
            <w:pPr>
              <w:spacing w:after="0"/>
              <w:rPr>
                <w:sz w:val="1"/>
                <w:szCs w:val="1"/>
                <w:color w:val="auto"/>
              </w:rPr>
            </w:pPr>
          </w:p>
        </w:tc>
      </w:tr>
      <w:tr>
        <w:trPr>
          <w:trHeight w:val="250"/>
        </w:trPr>
        <w:tc>
          <w:tcPr>
            <w:tcW w:w="5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Segment Operating Margin (Non-GAAP)</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(21,651)</w:t>
            </w:r>
          </w:p>
        </w:tc>
        <w:tc>
          <w:tcPr>
            <w:tcW w:w="0" w:type="dxa"/>
            <w:vAlign w:val="bottom"/>
          </w:tcPr>
          <w:p>
            <w:pPr>
              <w:spacing w:after="0"/>
              <w:rPr>
                <w:sz w:val="1"/>
                <w:szCs w:val="1"/>
                <w:color w:val="auto"/>
              </w:rPr>
            </w:pPr>
          </w:p>
        </w:tc>
      </w:tr>
      <w:tr>
        <w:trPr>
          <w:trHeight w:val="608"/>
        </w:trPr>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2025</w:t>
            </w: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100" w:type="dxa"/>
            <w:vAlign w:val="bottom"/>
          </w:tcPr>
          <w:p>
            <w:pPr>
              <w:spacing w:after="0"/>
              <w:rPr>
                <w:sz w:val="15"/>
                <w:szCs w:val="15"/>
                <w:color w:val="auto"/>
              </w:rPr>
            </w:pPr>
          </w:p>
        </w:tc>
        <w:tc>
          <w:tcPr>
            <w:tcW w:w="10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Ships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Segment</w:t>
            </w:r>
          </w:p>
        </w:tc>
        <w:tc>
          <w:tcPr>
            <w:tcW w:w="220" w:type="dxa"/>
            <w:vAlign w:val="bottom"/>
          </w:tcPr>
          <w:p>
            <w:pPr>
              <w:spacing w:after="0"/>
              <w:rPr>
                <w:sz w:val="15"/>
                <w:szCs w:val="15"/>
                <w:color w:val="auto"/>
              </w:rPr>
            </w:pPr>
          </w:p>
        </w:tc>
        <w:tc>
          <w:tcPr>
            <w:tcW w:w="15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Pr>
          <w:p>
            <w:pPr>
              <w:spacing w:after="0"/>
              <w:rPr>
                <w:sz w:val="12"/>
                <w:szCs w:val="12"/>
                <w:color w:val="auto"/>
              </w:rPr>
            </w:pPr>
          </w:p>
        </w:tc>
        <w:tc>
          <w:tcPr>
            <w:tcW w:w="1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379,067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395,744</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211,157</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Vessel operating expenses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56"/>
        </w:trPr>
        <w:tc>
          <w:tcPr>
            <w:tcW w:w="24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Operations and maintenance</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118,354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131,668</w:t>
            </w:r>
          </w:p>
        </w:tc>
        <w:tc>
          <w:tcPr>
            <w:tcW w:w="0" w:type="dxa"/>
            <w:vAlign w:val="bottom"/>
          </w:tcPr>
          <w:p>
            <w:pPr>
              <w:spacing w:after="0"/>
              <w:rPr>
                <w:sz w:val="1"/>
                <w:szCs w:val="1"/>
                <w:color w:val="auto"/>
              </w:rPr>
            </w:pPr>
          </w:p>
        </w:tc>
      </w:tr>
      <w:tr>
        <w:trPr>
          <w:trHeight w:val="574"/>
        </w:trPr>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8"/>
          </w:tcPr>
          <w:p>
            <w:pPr>
              <w:ind w:left="146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86,671</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44,997</w:t>
            </w:r>
          </w:p>
        </w:tc>
        <w:tc>
          <w:tcPr>
            <w:tcW w:w="0" w:type="dxa"/>
            <w:vAlign w:val="bottom"/>
          </w:tcPr>
          <w:p>
            <w:pPr>
              <w:spacing w:after="0"/>
              <w:rPr>
                <w:sz w:val="1"/>
                <w:szCs w:val="1"/>
                <w:color w:val="auto"/>
              </w:rPr>
            </w:pPr>
          </w:p>
        </w:tc>
      </w:tr>
      <w:tr>
        <w:trPr>
          <w:trHeight w:val="250"/>
        </w:trPr>
        <w:tc>
          <w:tcPr>
            <w:tcW w:w="5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Segment Operating Margin (Non-GAAP)</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131,668</w:t>
            </w:r>
          </w:p>
        </w:tc>
        <w:tc>
          <w:tcPr>
            <w:tcW w:w="0" w:type="dxa"/>
            <w:vAlign w:val="bottom"/>
          </w:tcPr>
          <w:p>
            <w:pPr>
              <w:spacing w:after="0"/>
              <w:rPr>
                <w:sz w:val="1"/>
                <w:szCs w:val="1"/>
                <w:color w:val="auto"/>
              </w:rPr>
            </w:pPr>
          </w:p>
        </w:tc>
      </w:tr>
      <w:tr>
        <w:trPr>
          <w:trHeight w:val="912"/>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Consolidation</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Pr>
          <w:p>
            <w:pPr>
              <w:spacing w:after="0"/>
              <w:rPr>
                <w:sz w:val="12"/>
                <w:szCs w:val="12"/>
                <w:color w:val="auto"/>
              </w:rPr>
            </w:pPr>
          </w:p>
        </w:tc>
        <w:tc>
          <w:tcPr>
            <w:tcW w:w="1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2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433,673</w:t>
            </w: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472,282</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Vessel operating expenses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Operations and maintenance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76,356</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107,789</w:t>
            </w:r>
          </w:p>
        </w:tc>
        <w:tc>
          <w:tcPr>
            <w:tcW w:w="0" w:type="dxa"/>
            <w:vAlign w:val="bottom"/>
          </w:tcPr>
          <w:p>
            <w:pPr>
              <w:spacing w:after="0"/>
              <w:rPr>
                <w:sz w:val="1"/>
                <w:szCs w:val="1"/>
                <w:color w:val="auto"/>
              </w:rPr>
            </w:pPr>
          </w:p>
        </w:tc>
      </w:tr>
      <w:tr>
        <w:trPr>
          <w:trHeight w:val="574"/>
        </w:trPr>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51,478</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0" w:type="dxa"/>
            <w:vAlign w:val="bottom"/>
          </w:tcPr>
          <w:p>
            <w:pPr>
              <w:spacing w:after="0"/>
              <w:rPr>
                <w:sz w:val="1"/>
                <w:szCs w:val="1"/>
                <w:color w:val="auto"/>
              </w:rPr>
            </w:pPr>
          </w:p>
        </w:tc>
      </w:tr>
      <w:tr>
        <w:trPr>
          <w:trHeight w:val="250"/>
        </w:trPr>
        <w:tc>
          <w:tcPr>
            <w:tcW w:w="5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Segment Operating Margin (Non-GAAP)</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107,789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8"/>
        <w:spacing w:after="0" w:line="242"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sales is presented exclusive of costs included in Depreciation and amortization in the Condensed Consolidated Statements of Operations and Comprehensive (Loss) Income.</w:t>
      </w:r>
    </w:p>
    <w:p>
      <w:pPr>
        <w:spacing w:after="0" w:line="222" w:lineRule="exact"/>
        <w:rPr>
          <w:rFonts w:ascii="Times New Roman" w:cs="Times New Roman" w:eastAsia="Times New Roman" w:hAnsi="Times New Roman"/>
          <w:sz w:val="22"/>
          <w:szCs w:val="22"/>
          <w:color w:val="auto"/>
          <w:vertAlign w:val="superscript"/>
        </w:rPr>
      </w:pPr>
    </w:p>
    <w:p>
      <w:pPr>
        <w:ind w:right="140" w:firstLine="8"/>
        <w:spacing w:after="0" w:line="242"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Operations and maintenance and Vessel operating expenses are directly attributable to revenue-producing activities of our terminals and vessels and are included in the calculation of Gross margin defined under GAAP.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Terminals and Infrastructure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40" w:type="dxa"/>
            <w:vAlign w:val="bottom"/>
          </w:tcPr>
          <w:p>
            <w:pPr>
              <w:spacing w:after="0"/>
              <w:rPr>
                <w:sz w:val="14"/>
                <w:szCs w:val="14"/>
                <w:color w:val="auto"/>
              </w:rPr>
            </w:pPr>
          </w:p>
        </w:tc>
        <w:tc>
          <w:tcPr>
            <w:tcW w:w="10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4"/>
                <w:szCs w:val="14"/>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4"/>
                <w:szCs w:val="14"/>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(213,992)</w:t>
            </w:r>
          </w:p>
        </w:tc>
        <w:tc>
          <w:tcPr>
            <w:tcW w:w="0" w:type="dxa"/>
            <w:vAlign w:val="bottom"/>
          </w:tcPr>
          <w:p>
            <w:pPr>
              <w:spacing w:after="0"/>
              <w:rPr>
                <w:sz w:val="1"/>
                <w:szCs w:val="1"/>
                <w:color w:val="auto"/>
              </w:rPr>
            </w:pPr>
          </w:p>
        </w:tc>
      </w:tr>
      <w:tr>
        <w:trPr>
          <w:trHeight w:val="25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(102,692)</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118,354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(147,277)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(105,279)</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2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Total revenue for the Terminals and Infrastructure Segment decreased by $159.4 million for the three months ended March 31, 2026 compared to the three months ended December 31, 2025, and decreased by $214.0 million for the three months ended March 31, 2026 compared to the three months ended March 31, 2025.</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decrease in revenue in the first quarter of 2026 compared to the fourth quarter of 2025 was primarily attributable to lower cargo and power sales recognized during the three months ended March 31, 2026, as well as additional revenue recognized relating to the settlement agreement with our customer during the three months ended December 31, 2025.</w:t>
      </w:r>
    </w:p>
    <w:p>
      <w:pPr>
        <w:spacing w:after="0" w:line="176" w:lineRule="exact"/>
        <w:rPr>
          <w:sz w:val="20"/>
          <w:szCs w:val="20"/>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entered into a settlement agreement with our customer for $142.0 million, related to the early termination of our contract to provide emergency power services in Puerto Rico, and we recognized revenue of $74.8 million.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deliver power under power purchase agreements (“PPAs”) from the Barcarena Power Plant starting in the third quarter of 2025. The Barcarena Power Plant is currently being commissioned, and as such, we partnered with a local energy trader to supply the required power. During the first quarter of 2026, PPAs with</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certain local distribution companies were suspended. As a result, the Company was required to procure and deliver less power, resulting in decreased revenue from $109.7 million in the fourth quarter of 2025 to $35.7 million in the first quarter of 2026.</w:t>
      </w:r>
    </w:p>
    <w:p>
      <w:pPr>
        <w:spacing w:after="0" w:line="162" w:lineRule="exact"/>
        <w:rPr>
          <w:sz w:val="20"/>
          <w:szCs w:val="20"/>
          <w:color w:val="auto"/>
        </w:rPr>
      </w:pPr>
    </w:p>
    <w:p>
      <w:pPr>
        <w:ind w:left="660" w:right="3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$43.9 million of revenue from cargos sales for the three months ended March 31, 2026 compared to $69.4 million for the three months ended December 31, 2025.</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$16.4 million decrease in revenues related to vessel charters due to the sale of certain vessels to Energos in the fourth quarter of 2025 and end of third-party charters for certain vessels.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decreases were partially offset by increased volumes delivered to downstream terminal customers from 6.4 TBtu in the fourth quarter of 2025 to 6.9 TBtu in the first quarter of 2026, primarily due to higher volumes offtake at our San Juan Facility. This increase in volumes resulted in a $12.7 million increase in revenue.</w:t>
      </w:r>
    </w:p>
    <w:p>
      <w:pPr>
        <w:spacing w:after="0" w:line="216" w:lineRule="exact"/>
        <w:rPr>
          <w:rFonts w:ascii="Times New Roman" w:cs="Times New Roman" w:eastAsia="Times New Roman" w:hAnsi="Times New Roman"/>
          <w:sz w:val="18"/>
          <w:szCs w:val="18"/>
          <w:color w:val="auto"/>
        </w:rPr>
      </w:pPr>
    </w:p>
    <w:p>
      <w:pPr>
        <w:ind w:left="660" w:right="100" w:hanging="328"/>
        <w:spacing w:after="0" w:line="27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decreases were also partially offset by a $20.6 million increase in revenues attributable to our Mexico operations, most of which is related to higher revenue recognized for an estimated capacity fee payment in the first quarter of 2026 compared to the three months ended December 31, 2025.</w:t>
      </w:r>
    </w:p>
    <w:p>
      <w:pPr>
        <w:spacing w:after="0" w:line="1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Henry Hub index pricing used to invoice our downstream customers increased by 42% for the three months ended March 31, 2026 as compared to the three months ended December 31, 2025.</w:t>
      </w:r>
    </w:p>
    <w:p>
      <w:pPr>
        <w:spacing w:after="0" w:line="162"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The decrease in revenue in the first quarter of 2026 compared to the first quarter of 2025 was primarily attributable to the sale of our Jamaica business and lower cargo sales. The decrease was partially offset by higher revenues related to the delivery of power under PPAs from the Barcarena Power Plant.</w:t>
      </w:r>
    </w:p>
    <w:p>
      <w:pPr>
        <w:spacing w:after="0" w:line="140" w:lineRule="exact"/>
        <w:rPr>
          <w:sz w:val="20"/>
          <w:szCs w:val="20"/>
          <w:color w:val="auto"/>
        </w:rPr>
      </w:pPr>
    </w:p>
    <w:p>
      <w:pPr>
        <w:ind w:left="660" w:right="3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volumes delivered to downstream customers were 6.9 TBtu compared to 13.8 TBtu for the three months ended March 31, 2025 due to the sale of our Jamaica business, resulting in $94.1 million lower revenues.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cargos sales decreased from $182.7 million to $43.9 million for the three months ended March 31, 2025 and March 31, 2026, respectively.</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revenue was partially offset by an increase of $35.7 million from delivery of power under PPAs from the Barcarena Power Plant during the three months ended March 31, 2026. No such revenue was recognized in the three months ended March 31,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Henry Hub index pricing used to invoice our downstream customers increased by 38% for the three months ended March 31, 2026 as compared to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Cost of sales includes the procurement of feed gas or LNG, as well as shipping and logistics costs to deliver LNG or natural gas to our facilities. We source LNG and natural gas from third parties and our own liquefaction facilities, including our Fast LNG unit. Costs to convert natural gas to LNG, including labor, depreciation and other direct costs to operate our liquefaction facilities are also included in Cost of sales. Our subsidiary, Genera, provides operations and maintenance services to PREPA’s thermal generation assets, and cost to provide these services is included in Cost of sales. Under our contract with PREPA, we pass all of these costs onto PREPA, and such billings are recognized as revenue.</w:t>
      </w:r>
    </w:p>
    <w:p>
      <w:pPr>
        <w:spacing w:after="0" w:line="183" w:lineRule="exact"/>
        <w:rPr>
          <w:sz w:val="20"/>
          <w:szCs w:val="20"/>
          <w:color w:val="auto"/>
        </w:rPr>
      </w:pPr>
    </w:p>
    <w:p>
      <w:pPr>
        <w:ind w:right="640" w:firstLine="324"/>
        <w:spacing w:after="0" w:line="312" w:lineRule="auto"/>
        <w:rPr>
          <w:sz w:val="20"/>
          <w:szCs w:val="20"/>
          <w:color w:val="auto"/>
        </w:rPr>
      </w:pPr>
      <w:r>
        <w:rPr>
          <w:rFonts w:ascii="Times New Roman" w:cs="Times New Roman" w:eastAsia="Times New Roman" w:hAnsi="Times New Roman"/>
          <w:sz w:val="17"/>
          <w:szCs w:val="17"/>
          <w:color w:val="auto"/>
        </w:rPr>
        <w:t>Cost of sales decreased by $11.5 million for the three months ended March 31, 2026 compared to the three months ended December 31, 2025, primarily driven by reduced costs of cargo sales. Increased gas costs were largely offset by lower vessel related costs in the first quarter of 2026.</w:t>
      </w:r>
    </w:p>
    <w:p>
      <w:pPr>
        <w:spacing w:after="0" w:line="140" w:lineRule="exact"/>
        <w:rPr>
          <w:sz w:val="20"/>
          <w:szCs w:val="20"/>
          <w:color w:val="auto"/>
        </w:rPr>
      </w:pPr>
    </w:p>
    <w:p>
      <w:pPr>
        <w:ind w:left="660" w:right="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incurred $44.5 million of cargo sales costs as compared to $54.3 million for the three months ended December 31, 2025.</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8% higher volumes to our customers in the first quarter of 2026 compared to the last quarter of 2025. The weighted average cost of gas purchased increased from $8.58 per MMBtu for the three months ended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December 31, 2025 to $9.23 per MMBtu for the three months ended March 31, 2026. In addition, the Henry Hub index increased by 42% over the same period.</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Cost of sales decreased by $102.7 million for the three months ended March 31, 2026 as compared to the three months ended March 31, 2025, which was attributable to the following:</w:t>
      </w:r>
    </w:p>
    <w:p>
      <w:pPr>
        <w:spacing w:after="0" w:line="162" w:lineRule="exact"/>
        <w:rPr>
          <w:sz w:val="20"/>
          <w:szCs w:val="20"/>
          <w:color w:val="auto"/>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sales costs incurred during three months ended March 31, 2026 were $44.5 million compared to $103.8 million during the three months ended March 31, 2025, consistent with the level of cargo sales during the corresponding periods.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50% lower volumes to our customers during the first quarter of 2026 compared to the first quarter of 2025, driven mostly by the sale of our Jamaica business in May 2025, resulting in a $52.6 million decrease in cost of sales.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costs decreased by $32.8 million, for the three months ended March 31, 2026 compared to the three months ended March 31, 2025, due to the reduced number of vessels chartered in our fleet. The decrease reflects the assignment of vessels related to the Jamaica business that we sold in May 2025, and charter expirations or terminations during 2025 and the first quarter of 2026.</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cost of sales was partially offset by an increase in cost of sales of $43.6 million related to the delivery of power under the PPAs from the Barcarena Power Plant. No such costs were incurred during the three months ended March 31, 2025.</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cost of our LNG inventory balance to be used in our operations as of March 31, 2026 and December 31, 2025 was $8.38 per MMBtu and $8.35 per MMBtu,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Vessel operating expenses</w:t>
      </w:r>
    </w:p>
    <w:p>
      <w:pPr>
        <w:spacing w:after="0" w:line="22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Vessel operating expenses relate to direct costs such as crewing, repairs and maintenance, insurance, stores, lube oils, communication expenses, management fees associated with operating vessels.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vessel operating expenses were not material to our results of operations for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maintenance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Operations and maintenance includes costs of operating our facilities, exclusive of costs to convert that are reflected in Cost of sales.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Operations and maintenance remained relatively consistent between the three months ended March 31, 2026 and the three months ended December 31, 2025, increasing by $0.6 million.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expenses decreased by $6.7 million for the three months ended March 31, 2026 compared to the three months ended March 31, 2025. The decrease was primarily attributable to the lower operating and maintenance costs resulting from the sale of our Jamaica business in May 2025. This decrease was partially offset by higher planned maintenance at our San Juan Facility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Ships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w:t>
            </w:r>
          </w:p>
        </w:tc>
      </w:tr>
      <w:tr>
        <w:trPr>
          <w:trHeight w:val="25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5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r>
      <w:tr>
        <w:trPr>
          <w:trHeight w:val="25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(6,042)</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(24,161)</w:t>
            </w:r>
          </w:p>
        </w:tc>
      </w:tr>
      <w:tr>
        <w:trPr>
          <w:trHeight w:val="911"/>
        </w:trPr>
        <w:tc>
          <w:tcPr>
            <w:tcW w:w="3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37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Revenue in the Ships segment is comprised of operating lease revenue under time charters, fees for positioning and repositioning vessels as well as the reimbursement of certain vessel operating costs. As of March 31, 2026, one vessel included in the Energos Formation Transaction was under a third-party charter and is included in this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Total revenue for the Ships segment decreased $9.4 million for the three months ended March 31, 2026 as compared to the three months ended December 31, 2025, and decreased $31.3 million compared to the three months ended March 31, 2025. These decreases were primarily attributable to a transaction with Energos, pursuant to which we early terminated the long-term charter agreements with Energos for certain vessels, including </w:t>
      </w:r>
      <w:r>
        <w:rPr>
          <w:rFonts w:ascii="Times New Roman" w:cs="Times New Roman" w:eastAsia="Times New Roman" w:hAnsi="Times New Roman"/>
          <w:sz w:val="18"/>
          <w:szCs w:val="18"/>
          <w:i w:val="1"/>
          <w:iCs w:val="1"/>
          <w:color w:val="auto"/>
        </w:rPr>
        <w:t>Energos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Eskimo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Energos Igloo, </w:t>
      </w:r>
      <w:r>
        <w:rPr>
          <w:rFonts w:ascii="Times New Roman" w:cs="Times New Roman" w:eastAsia="Times New Roman" w:hAnsi="Times New Roman"/>
          <w:sz w:val="18"/>
          <w:szCs w:val="18"/>
          <w:color w:val="auto"/>
        </w:rPr>
        <w:t>which were included in the Ships segment during 2025. This transaction resulted in a sale of</w:t>
      </w:r>
      <w:r>
        <w:rPr>
          <w:rFonts w:ascii="Times New Roman" w:cs="Times New Roman" w:eastAsia="Times New Roman" w:hAnsi="Times New Roman"/>
          <w:sz w:val="18"/>
          <w:szCs w:val="18"/>
          <w:i w:val="1"/>
          <w:iCs w:val="1"/>
          <w:color w:val="auto"/>
        </w:rPr>
        <w:t xml:space="preserve"> Energos Eskimo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Energos Igloo </w:t>
      </w:r>
      <w:r>
        <w:rPr>
          <w:rFonts w:ascii="Times New Roman" w:cs="Times New Roman" w:eastAsia="Times New Roman" w:hAnsi="Times New Roman"/>
          <w:sz w:val="18"/>
          <w:szCs w:val="18"/>
          <w:color w:val="auto"/>
        </w:rPr>
        <w:t>to Energos and a reduction in charter revenue for the three months ended March 31, 2026 compared to the three months ended December 31, 2025 and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Vessel operating expenses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Vessel operating expenses include direct costs associated with operating a vessel, such as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83" w:lineRule="exact"/>
        <w:rPr>
          <w:sz w:val="20"/>
          <w:szCs w:val="20"/>
          <w:color w:val="auto"/>
        </w:rPr>
      </w:pPr>
    </w:p>
    <w:p>
      <w:pPr>
        <w:ind w:right="80" w:firstLine="356"/>
        <w:spacing w:after="0" w:line="266" w:lineRule="auto"/>
        <w:rPr>
          <w:sz w:val="20"/>
          <w:szCs w:val="20"/>
          <w:color w:val="auto"/>
        </w:rPr>
      </w:pPr>
      <w:r>
        <w:rPr>
          <w:rFonts w:ascii="Times New Roman" w:cs="Times New Roman" w:eastAsia="Times New Roman" w:hAnsi="Times New Roman"/>
          <w:sz w:val="18"/>
          <w:szCs w:val="18"/>
          <w:color w:val="auto"/>
        </w:rPr>
        <w:t xml:space="preserve">Vessel operating expenses were $3.4 million and $7.2 million for the three months ended December 31, 2025 and March 31, 2025, respectively. We did not incur any vessel operating expenses for the three months ended March 31, 2026 related to the vessel </w:t>
      </w:r>
      <w:r>
        <w:rPr>
          <w:rFonts w:ascii="Times New Roman" w:cs="Times New Roman" w:eastAsia="Times New Roman" w:hAnsi="Times New Roman"/>
          <w:sz w:val="18"/>
          <w:szCs w:val="18"/>
          <w:i w:val="1"/>
          <w:iCs w:val="1"/>
          <w:color w:val="auto"/>
        </w:rPr>
        <w:t>Nusantara Regas Satu,</w:t>
      </w:r>
      <w:r>
        <w:rPr>
          <w:rFonts w:ascii="Times New Roman" w:cs="Times New Roman" w:eastAsia="Times New Roman" w:hAnsi="Times New Roman"/>
          <w:sz w:val="18"/>
          <w:szCs w:val="18"/>
          <w:color w:val="auto"/>
        </w:rPr>
        <w:t xml:space="preserve"> as such costs are borne by the third-party charterer.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5"/>
                <w:szCs w:val="15"/>
                <w:color w:val="auto"/>
              </w:rPr>
            </w:pPr>
          </w:p>
        </w:tc>
        <w:tc>
          <w:tcPr>
            <w:tcW w:w="13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5"/>
                <w:szCs w:val="15"/>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8"/>
        </w:trPr>
        <w:tc>
          <w:tcPr>
            <w:tcW w:w="4080" w:type="dxa"/>
            <w:vAlign w:val="bottom"/>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expense</w:t>
            </w: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(557,609)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(212,856)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(369,063)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(827,677)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458,614</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(219,705)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446,459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(225,178)</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decreased by $65.1 million for the three months ended March 31, 2026, compared to the three months ended December 31, 2025. We recorded $45.6 million of contingent losses related to certain legal proceedings during the three months ended December 31, 2025. There were no significant incremental contingent losses recorded during the three months ended March 31, 2026. In addition, screening costs for development projects, and payroll and bonus expenses decreased by $14.8 million during the first quarter of 2026.</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decreased by $4.3 million for three months ended March 31, 2026, compared to the three months ended March 31, 2025. The decrease was primarily driven by an $11.5 million reduction in screening costs for development projects, partially offset by higher legal and professional fees and share-based compensation expense. The share-based compensation expense was lower in the first quarter of 2025 due to the reversal of previously recorded expense related to forfeitures during that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integration costs</w:t>
      </w:r>
    </w:p>
    <w:p>
      <w:pPr>
        <w:spacing w:after="0" w:line="22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incurred transaction and integration costs of $53.3 million and $54.8 million during the three months ended March 31, 2026 and December 31, 2025, respectively. These costs were primarily comprised of professional and consulting fees related to our debt restructuring process.</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transaction and integration costs of $11.9 million during the three months ended March 31, 2025 primarily related to legal fees and other third-party costs incurred in connection with amendments to certain credit agreements. In addition, during the first quarter of 2025, we incurred $3.9 million of legal fees related to the sale of our Jamaica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by $3.9 million for the three months ended March 31, 2026 as compared to the three months ended December 31, 2025. The decrease was primarily attributable to the sale of certain vessels to Energos in November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by $15.2 million for the three months ended March 31, 2026 as compared to the three months ended March 31, 2025. The decrease in depreciation expense resulted from the sale of our Jamaica business in May 2025, and sale of certain vessels to Energos in November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expense</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owner of a vessel under an operating lease repossessed the vessel after the Company failed to make certain lease payments. As the Company no longer has control of the leased asset, the Company recognized an impairment charge on the right-of-use asset of $60.6 million.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as part of the Company’s ongoing discussions with creditors, the Company has determined that it was not probable that it would pursue the development of certain Fast LNG projects and the ZeroParks hydrogen project and recognized impairment charges of $733.0 million to reduce the carrying values of the asset groups to their estimated fair value.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material asset impairment expense during the three months ended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sale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had no significant asset sales during the first quarter of 2026. For the three months ended December 31, 2025, the Company recorded a gain of $199.9 million. In November 2025, we completed a transaction with Energos, pursuant to which the Company early terminated the long-term charter agreements with Energos for certain vessels and novated associated sub-charter agreements for these vessels to Energos, in exchange for cash considerations of $150.0</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million. The Company recognized a gain of $217.1 million from the transaction, which was partially offset by a $17.2 million adjustment to the gain on sale of the Jamaica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expense</w:t>
      </w:r>
    </w:p>
    <w:p>
      <w:pPr>
        <w:spacing w:after="0" w:line="268" w:lineRule="exact"/>
        <w:rPr>
          <w:sz w:val="20"/>
          <w:szCs w:val="20"/>
          <w:color w:val="auto"/>
        </w:rPr>
      </w:pPr>
    </w:p>
    <w:p>
      <w:pPr>
        <w:ind w:right="240" w:firstLine="324"/>
        <w:spacing w:after="0" w:line="274" w:lineRule="auto"/>
        <w:rPr>
          <w:sz w:val="20"/>
          <w:szCs w:val="20"/>
          <w:color w:val="auto"/>
        </w:rPr>
      </w:pPr>
      <w:r>
        <w:rPr>
          <w:rFonts w:ascii="Times New Roman" w:cs="Times New Roman" w:eastAsia="Times New Roman" w:hAnsi="Times New Roman"/>
          <w:sz w:val="18"/>
          <w:szCs w:val="18"/>
          <w:color w:val="auto"/>
        </w:rPr>
        <w:t>During the three months ended December 31, 2025, we recognized an impairment of goodwill of $15.9 million in our Ships segment, primarily as a result of a reduction in forecasted cash flows following the sale of certain vessels to Energos. There was no goodwill impairment expense recognized during the three months ended March 31, 2026 and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marginally by $6.0 million for the three months ended March 31, 2026 compared to the three months ended December 31, 2025, primarily due to lower outstanding debt resulting from the vessel sale transaction completed during the fourth quarter of 2025, with the decrease partially offset by higher interest expense incurred during continuance of events of default under certain of our debt agreements.</w:t>
      </w:r>
    </w:p>
    <w:p>
      <w:pPr>
        <w:spacing w:after="0" w:line="176"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by $13.4 million for the three months ended March 31, 2026 compared to the three months ended March 31, 2025. The decrease was driven by lower outstanding debt resulting from the vessel sale transaction, and repayment of debt related to the Jamaica business. The decreases were partly offset by higher interest expense resulting from the issuance of additional debt and higher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was $(43.2) million, $5.9 million and $(63.9) million for the three months ended March 31, 2026, December 31, 2025 and March 31, 2025, respectively.</w:t>
      </w:r>
    </w:p>
    <w:p>
      <w:pPr>
        <w:spacing w:after="0" w:line="162"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Other (income) expense for these periods primarily reflected remeasurement gains and losses on U.S. dollar denominated debt held by our Brazil subsidiary, driven by fluctuations in the Brazilian Real relative to the U.S. Dollar, as well as gains or losses from the fair value remeasurement of derivative contracts. Other income also included interest income, which was derived largely from the restricted cash related to our development projects in Brazil.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material extinguishment of debt for the three months ended March 31, 2026, December 31, 2025, and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provision</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recognized a tax provision for the three months ended March 31, 2026 of $31.5 million compared to a tax provision of $19.4 million for the three months ended December 31, 2025 and a tax provision of $26.1 million for the three months ended March 31, 2025. The tax provision recognized in the first quarter of 2026 was primarily driven by estimated Pillar 2 expense, as well as, taxes on our foreign earnings in certain jurisdictions where we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Comparability of Our Financial Results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historical results of operations and cash flows are not indicative of results of operations and cash flows to be expected in the future, principally for the following reasons:</w:t>
      </w:r>
    </w:p>
    <w:p>
      <w:pPr>
        <w:spacing w:after="0" w:line="158" w:lineRule="exact"/>
        <w:rPr>
          <w:sz w:val="20"/>
          <w:szCs w:val="20"/>
          <w:color w:val="auto"/>
        </w:rPr>
      </w:pPr>
    </w:p>
    <w:p>
      <w:pPr>
        <w:ind w:left="660" w:right="220" w:hanging="328"/>
        <w:spacing w:after="0" w:line="286"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historical results of operations include our Jamaica business. </w:t>
      </w:r>
      <w:r>
        <w:rPr>
          <w:rFonts w:ascii="Times New Roman" w:cs="Times New Roman" w:eastAsia="Times New Roman" w:hAnsi="Times New Roman"/>
          <w:sz w:val="18"/>
          <w:szCs w:val="18"/>
          <w:color w:val="auto"/>
        </w:rPr>
        <w:t>In May 2025, we completed the sale of our Jamaica business, and after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point, we no longer include the results of operations of the Montego Bay Facility and Old Harbour Facility in our financial statements.</w:t>
      </w:r>
    </w:p>
    <w:p>
      <w:pPr>
        <w:spacing w:after="0" w:line="154" w:lineRule="exact"/>
        <w:rPr>
          <w:rFonts w:ascii="Times New Roman" w:cs="Times New Roman" w:eastAsia="Times New Roman" w:hAnsi="Times New Roman"/>
          <w:sz w:val="18"/>
          <w:szCs w:val="18"/>
          <w:b w:val="1"/>
          <w:bCs w:val="1"/>
          <w:i w:val="1"/>
          <w:iCs w:val="1"/>
          <w:color w:val="auto"/>
        </w:rPr>
      </w:pPr>
    </w:p>
    <w:p>
      <w:pPr>
        <w:ind w:left="660" w:right="20" w:hanging="328"/>
        <w:spacing w:after="0" w:line="262"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current LNG sourcing does not consider any future long-term supply contracts. </w:t>
      </w:r>
      <w:r>
        <w:rPr>
          <w:rFonts w:ascii="Times New Roman" w:cs="Times New Roman" w:eastAsia="Times New Roman" w:hAnsi="Times New Roman"/>
          <w:sz w:val="18"/>
          <w:szCs w:val="18"/>
          <w:color w:val="auto"/>
        </w:rPr>
        <w:t>Since our first Fast LNG project was placed into service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fourth quarter of 2024, we source a significant portion of our LNG needs from FLNG 1. Currently, demand for LNG above FLNG 1’s capacity is acquired from third-party suppliers in open market purchases. Starting in 2027, we expect to meet this demand under long-term supply contracts, which are based on an index such as Henry Hub plus a fixed fee component.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328"/>
        <w:spacing w:after="0" w:line="256"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historical financial results include BrazilCo and do not reflect the contemplated effect of the Restructuring Transaction. </w:t>
      </w:r>
      <w:r>
        <w:rPr>
          <w:rFonts w:ascii="Times New Roman" w:cs="Times New Roman" w:eastAsia="Times New Roman" w:hAnsi="Times New Roman"/>
          <w:sz w:val="18"/>
          <w:szCs w:val="18"/>
          <w:color w:val="auto"/>
        </w:rPr>
        <w:t>The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contemplates the separation of our Brazil business, the exchange of existing debt for new debt and equity securities (including the issuance of CoreCo Convertible Preferred Stock and new shares of our Class A common stock), and the incurrence of new term loans and preferred equity at various subsidiaries. These changes will materially impact our reported interest expense, outstanding debt, equity balances, cost of borrowing and earnings per share calculations. In addition, the mandatory conversion of CoreCo Convertible Preferred Stock, potential future equity issuances, and the implementation of new incentive plans may result in further dilution and changes to our financial metrics. As a result, our future financial results will not be directly comparable to our historical results.</w:t>
      </w:r>
    </w:p>
    <w:p>
      <w:pPr>
        <w:spacing w:after="0" w:line="182" w:lineRule="exact"/>
        <w:rPr>
          <w:rFonts w:ascii="Times New Roman" w:cs="Times New Roman" w:eastAsia="Times New Roman" w:hAnsi="Times New Roman"/>
          <w:sz w:val="18"/>
          <w:szCs w:val="18"/>
          <w:b w:val="1"/>
          <w:bCs w:val="1"/>
          <w:i w:val="1"/>
          <w:iCs w:val="1"/>
          <w:color w:val="auto"/>
        </w:rPr>
      </w:pPr>
    </w:p>
    <w:p>
      <w:pPr>
        <w:ind w:left="660" w:right="80" w:hanging="328"/>
        <w:spacing w:after="0" w:line="262"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We have reached compromise agreements to reduce expenses which are not reflected in our historical financial results. </w:t>
      </w:r>
      <w:r>
        <w:rPr>
          <w:rFonts w:ascii="Times New Roman" w:cs="Times New Roman" w:eastAsia="Times New Roman" w:hAnsi="Times New Roman"/>
          <w:sz w:val="18"/>
          <w:szCs w:val="18"/>
          <w:color w:val="auto"/>
        </w:rPr>
        <w:t>Over the past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we reached compromise agreements with vendors, service providers and other partners to materially reduce our outstanding obligations. These cost savings are expected to further impact the comparability of our financial results to prior periods by lowering our ongoing expense base and improving our overall financial position moving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three months ended March 31, 2026 and 2025,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6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of $)</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(163,164)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cash flow used in operating activities was $118.9 million for the three months ended March 31, 2026, which increased by $111.7 million from cash used in operating activities of $7.2 million for the three months ended March 31, 2025. Our net loss for the three months ended March 31, 2026, when adjusted for non-cash items, increased by $156.6 million from the three months ended March 31, 2025.</w:t>
      </w:r>
    </w:p>
    <w:p>
      <w:pPr>
        <w:spacing w:after="0" w:line="176"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Cash outflows during the three months ended March 31, 2026 were impacted by significant professional and consulting fees relating to our capital restructuring process. We have recognized reduced cash flows following the sale of our Jamaica Business in 2025. Following the sale of the Jamaica business during 2025, we continue to incur operational and administrative costs that supported all of our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cash flow used in investing activities was $43.6 million for the three months ended March 31, 2026, which decreased by $207.0 million from cash used in investing activities of $250.5 million for the three months ended March 31, 2025. Cash flows used in investing activities during the three months ended March 31, 2026 were used primarily for capital expenditures for continued construction of the PortoCem Power Plant and the Puerto Sandino Facility, of which $5.0 million of these capital expenditures was paid significantly beyond our vendors customary payment terms, and as such, is presented as a financing activity.</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Cash outflows for investing activities during the three months ended March 31, 2025 were used primarily for continued development of our onshore FLNG project and the construction of the PortoCem Power Plant.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 provided by financing activities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cash flow used in financing activities was $11.0 million for the three months ended March 31, 2026, which increased by $105.6 million from cash provided by financing activities of $94.6 million for the three months ended March 31, 2025. Cash flows used in financing activities during the three months ended March 31, 2026 were primarily used for capital expenditures paid significantly beyond our vendors customary payment terms.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had total borrowings of $943.6 million, with such borrowings primarily used to fund continued development of the onshore FLNG project and for other corporate expenses. Such borrowings were also used to repay the Barcarena Debentures in full. We also repaid our Revolving Facility by $275.0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0" w:firstLine="356"/>
        <w:spacing w:after="0" w:line="266" w:lineRule="auto"/>
        <w:rPr>
          <w:sz w:val="20"/>
          <w:szCs w:val="20"/>
          <w:color w:val="auto"/>
        </w:rPr>
      </w:pPr>
      <w:r>
        <w:rPr>
          <w:rFonts w:ascii="Times New Roman" w:cs="Times New Roman" w:eastAsia="Times New Roman" w:hAnsi="Times New Roman"/>
          <w:sz w:val="18"/>
          <w:szCs w:val="18"/>
          <w:color w:val="auto"/>
        </w:rPr>
        <w:t>We are committed to make cash payments in the future pursuant to certain contracts. The following table summarizes certain contractual obligations in place as of December 31, 2025 and includes those contractual obligations of BrazilCo, which will no longer be owed by us upon completion of the Restructuring Transaction: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of $)</w:t>
            </w:r>
          </w:p>
        </w:tc>
        <w:tc>
          <w:tcPr>
            <w:tcW w:w="320" w:type="dxa"/>
            <w:vAlign w:val="bottom"/>
          </w:tcPr>
          <w:p>
            <w:pPr>
              <w:spacing w:after="0"/>
              <w:rPr>
                <w:sz w:val="17"/>
                <w:szCs w:val="17"/>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Less than Year 1</w:t>
            </w:r>
          </w:p>
        </w:tc>
        <w:tc>
          <w:tcPr>
            <w:tcW w:w="200" w:type="dxa"/>
            <w:vAlign w:val="bottom"/>
          </w:tcPr>
          <w:p>
            <w:pPr>
              <w:spacing w:after="0"/>
              <w:rPr>
                <w:sz w:val="17"/>
                <w:szCs w:val="17"/>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Years 2 to 3</w:t>
            </w:r>
          </w:p>
        </w:tc>
        <w:tc>
          <w:tcPr>
            <w:tcW w:w="22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4 to 5</w:t>
            </w:r>
          </w:p>
        </w:tc>
        <w:tc>
          <w:tcPr>
            <w:tcW w:w="220" w:type="dxa"/>
            <w:vAlign w:val="bottom"/>
          </w:tcPr>
          <w:p>
            <w:pPr>
              <w:spacing w:after="0"/>
              <w:rPr>
                <w:sz w:val="17"/>
                <w:szCs w:val="17"/>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38"/>
        </w:trPr>
        <w:tc>
          <w:tcPr>
            <w:tcW w:w="3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5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9,661,351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7,452,300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1,553,742</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17,954,542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15,204,808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146,999</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28,154,336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7,768,477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1,334,563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2,145,747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16,905,549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obligations</w:t>
      </w:r>
    </w:p>
    <w:p>
      <w:pPr>
        <w:spacing w:after="0" w:line="22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our long-term debt obligations, see “—Liquidity and Capital Resources—Long-Term Debt” in our Annual Report. The amounts included in the table above are based on the total debt balance, scheduled maturities, and interest rates in effect as of December 31, 2025.</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third-party charter payments nor the residual value of these vessels represent cash payments due by NFE, such amounts have been excluded from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December 31, 2025.</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construction purchase commitments in connection with our development projects, including our Puerto Sandino Facility, Barcarena Facility, Barcarena Power Plant and PortoCem Power Plant, and any remaining unpaid commitments on our FLNG projects. Commitments included in the table above include commitments under engineering, procurement and construction contracts where a notice to proceed has been issued. Our remaining committed capital expenditures, inclusive of invoiced amounts in Accounts payable, towards these projects is approximately $271 million. We have secured financing commitments to continue to develop our Barcarena Power Plant and PortoCem Power Plant, which represents approximately $97 million of our upcoming committed capital expenditures.</w:t>
      </w:r>
    </w:p>
    <w:p>
      <w:pPr>
        <w:spacing w:after="0" w:line="18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Following the completion of the Restructuring Transaction, we do not plan to incur significant capital expenditures to develop FLNG 2. We are in active discussions with third parties to co-develop FLNG 2, which is expected to take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approximately 24 months to complete from the time our partner is engaged. Estimated cost to complete is uncertain and is dependent upon final design and engineering, but we currently expect the remaining cost to be between $750.0 million and $1,500.0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terms of our debt instruments and associated obligations have been described in our Annual Report. There have been no significant changes to the terms of our outstanding debt, covenant requirements or payment obligations, other than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EB-5 Loan Agreement</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March 13, 2026, the Company entered into a term sheet with CanAm Texas Regional Center LP. IV., a Delaware limited partnership in respect of the EB-5 Loan Agreement that contemplates, among other things, the incurrence by the Company of a new unsecured note in the aggregate principal amount of $22.5 million, with an interest rate of 7.0% per annum, with the option to pay interest in kind, and that matures on December 31, 2029.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Credit Facility</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March 2026, the Company entered into an amendment to the Letter of Credit Facility to extend the maturity date to September 15, 2026. As of March 31, 2026, the Company had $195.6 million of letters of credit outstanding under the Letter of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PortoCem Financings</w:t>
      </w:r>
    </w:p>
    <w:p>
      <w:pPr>
        <w:spacing w:after="0" w:line="227" w:lineRule="exact"/>
        <w:rPr>
          <w:sz w:val="20"/>
          <w:szCs w:val="20"/>
          <w:color w:val="auto"/>
        </w:rPr>
      </w:pPr>
    </w:p>
    <w:p>
      <w:pPr>
        <w:jc w:val="both"/>
        <w:ind w:right="380" w:firstLine="324"/>
        <w:spacing w:after="0" w:line="272" w:lineRule="auto"/>
        <w:rPr>
          <w:sz w:val="20"/>
          <w:szCs w:val="20"/>
          <w:color w:val="auto"/>
        </w:rPr>
      </w:pPr>
      <w:r>
        <w:rPr>
          <w:rFonts w:ascii="Times New Roman" w:cs="Times New Roman" w:eastAsia="Times New Roman" w:hAnsi="Times New Roman"/>
          <w:sz w:val="17"/>
          <w:szCs w:val="17"/>
          <w:color w:val="auto"/>
        </w:rPr>
        <w:t>On May 10, 2026, the Company did not provide the $79.1 million bank guarantee that was due to the holders under the PortoCem Debentures (as defined in the Company's Annual Report on Form 10-K). If the Company fails to provide the bank guarantee prior to the expiration of the 45-day cure period, an automatic early maturity event will occur and substantially all of the Company's outstanding indebtedness would be payable on demand.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other non-financial requirements due on April 30, 2026 were not met, and the debenture holders have the ability to declare an event of early maturity. As of the date of the issuance of these financial statements, the debenture holders have not declared an early maturity event. Nonetheless, the outstanding principal balance of the PortoCem Debentures has been presented as a current liability as of March 31, 2026 as the Company determined that it is not currently probable that the bank guarantee can be provided. Following the completion of the Restructuring Transaction, the Company will no longer own BrazilCo, and the liabilities of BrazilCo, including the PortoCem Debentures will no longer be included in the Company's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 complete discussion of our critical accounting policies and estimates is included in our Annual Report. As of March 31, 2026, there have been no significant changes to our critical accounting estimates since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descriptions of recently issued accounting standards, see Note 4 to our notes to condensed consolidated financial statements included elsewhere in this Quarterly Report.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normal course of business, the Company encounters several significant types of market risks including commodity and interest rate risks.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Commodity price risk is the risk of loss arising from adverse changes in market rates and prices. Our exposure to market risk associated with LNG price changes may adversely impact our business. Our pricing in contracts with customers is largely based on the Henry Hub index price plus a fixed fee component. 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exposes us to volatility in LNG pricing.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2026 Notes, 2029 Notes, New 2029 Notes, Brazil Financing Notes, EB-5 Loan, PortoCem Debentures and Turbine Financing (each defined in the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$44 million. The sensitivity analysis presented is based on certain simplifying assumptions, including instantaneous change in interest rate and parallel shifts in the yield curve.</w:t>
      </w:r>
    </w:p>
    <w:p>
      <w:pPr>
        <w:spacing w:after="0" w:line="18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Interest under the Term Loan A Credit Agreement and Term Loan B have components based on the Secured Overnight Financing Rate (“SOFR”), and the BNDES Term Loan has components based on BNDES fixed rate. A 100-basis point increase or decrease in the market interest rates would decrease or increase our annual interest expense by approximately $19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result in an increase of approximately $1 million of pre-tax net income for the three months ended March 31, 2026. During 2024, we entered into a series of foreign exchange forward contracts and zero-cost collar options to reduce exchange rate risk associated with U.S. dollar borrowings and expected capital expenditures. As of March 31, 2026, the notional amount of outstanding foreign exchange contracts was approximately $12.9 million.</w:t>
      </w:r>
    </w:p>
    <w:p>
      <w:pPr>
        <w:spacing w:after="0" w:line="183"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1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Rules 13a-15(b) of the Securities Exchange Act of 1934, as amended ("Exchange Act"), we have performed, with the participation of the Chief Executive Officer ("CEO") and the Chief Financial Officer ("CFO"), an evaluation of the effectiveness of the design and operation of our disclosure controls and procedures as defined in Rules 13a-15(e) and 15d-15(e) of the Exchange Act. Based on that evaluation, our CEO and CFO concluded that the Company's disclosure controls and procedures were not effective as of March 31, 2026, as a result of material weaknesses in our internal control over financial reporting as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Reported Material Weaknesses</w:t>
      </w:r>
    </w:p>
    <w:p>
      <w:pPr>
        <w:spacing w:after="0" w:line="22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As disclosed in Item 9A. "Controls and Procedures" of our Annual Report on Form 10-K for the year ended December 31, 2025, we previously identified the following material weaknesses in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3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deficiency in the operation of our internal controls related to the assessment and disclosure of events that have occurred permitting lenders to require repayment prior to the debt’s stated maturity, including non-automatic events of early maturity;</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insufficient number of personnel with an appropriate level of knowledge and experience of US GAAP areas with complex accounting and non-routine transactions that are commensurate with the Company’s financial reporting requirements;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design and operation of controls in our enterprise resource planning and consolidation systems related to (i) restricting user access to certain financial applications and data to the appropriate personnel, and (ii) monitoring, documenting and approving system or data changes;</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deficiency in the design and implementation of internal controls over the classification and presentation of delayed vendor payments for capital expenditures in the consolidated statement of cash flows;</w:t>
      </w:r>
    </w:p>
    <w:p>
      <w:pPr>
        <w:spacing w:after="0" w:line="161"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controls over the completeness, accuracy, and presentation and disclosure of accounting for income taxes, including the determination of income tax expense, income taxes payable and deferred income tax assets and liabilities, and the related valuation allowance; and</w:t>
      </w:r>
    </w:p>
    <w:p>
      <w:pPr>
        <w:spacing w:after="0" w:line="139" w:lineRule="exact"/>
        <w:rPr>
          <w:rFonts w:ascii="Times New Roman" w:cs="Times New Roman" w:eastAsia="Times New Roman" w:hAnsi="Times New Roman"/>
          <w:sz w:val="17"/>
          <w:szCs w:val="17"/>
          <w:color w:val="auto"/>
        </w:rPr>
      </w:pPr>
    </w:p>
    <w:p>
      <w:pPr>
        <w:ind w:left="66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internal controls associated with the control environment, control activities, and information and communication components of the COSO framework that constitute a material weakness related to the (i) selection and development of control activities that mitigate risks to acceptable levels, including those related to general controls over technology; (ii) recruitment, development, and retention of competent individuals in alignment with the Company’s objectives; (iii) performance of control activities in accordance with established policies and procedures; (iv) generation and use of relevant, quality information and (v) communication of information, including objectives and responsibilities for internal control, necessary to support the functioning of internal control.</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for Material Weaknesses in Internal Control over Financial Reporting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the oversight of the Audit Committee of the Board of Directors, the Company continues to implement its remediation plan to address the material weaknesses identified. Our plan for remediation activities includes the following:</w:t>
      </w:r>
    </w:p>
    <w:p>
      <w:pPr>
        <w:spacing w:after="0" w:line="202" w:lineRule="exact"/>
        <w:rPr>
          <w:sz w:val="20"/>
          <w:szCs w:val="20"/>
          <w:color w:val="auto"/>
        </w:rPr>
      </w:pPr>
    </w:p>
    <w:p>
      <w:pPr>
        <w:ind w:left="660" w:right="280" w:hanging="328"/>
        <w:spacing w:after="0" w:line="24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Effectively operating our controls over the internal communication of triggering events related to non-financial covenants contained within our debt agreements to demonstrate that these controls are operating as designed</w:t>
      </w:r>
    </w:p>
    <w:p>
      <w:pPr>
        <w:spacing w:after="0" w:line="234" w:lineRule="exact"/>
        <w:rPr>
          <w:rFonts w:ascii="Arial" w:cs="Arial" w:eastAsia="Arial" w:hAnsi="Arial"/>
          <w:sz w:val="22"/>
          <w:szCs w:val="22"/>
          <w:color w:val="auto"/>
        </w:rPr>
      </w:pPr>
    </w:p>
    <w:p>
      <w:pPr>
        <w:ind w:left="660" w:right="580" w:hanging="328"/>
        <w:spacing w:after="0" w:line="234" w:lineRule="auto"/>
        <w:tabs>
          <w:tab w:leader="none" w:pos="65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Providing targeted training to key stakeholders, which will include conducting and delivering training on a regular basis to our finance and accounting, legal, treasury and IT team members on how to execute internal control responsibilities</w:t>
      </w:r>
    </w:p>
    <w:p>
      <w:pPr>
        <w:spacing w:after="0" w:line="240" w:lineRule="exact"/>
        <w:rPr>
          <w:rFonts w:ascii="Times New Roman" w:cs="Times New Roman" w:eastAsia="Times New Roman" w:hAnsi="Times New Roman"/>
          <w:sz w:val="22"/>
          <w:szCs w:val="22"/>
          <w:color w:val="auto"/>
        </w:rPr>
      </w:pPr>
    </w:p>
    <w:p>
      <w:pPr>
        <w:ind w:left="660" w:right="60" w:hanging="328"/>
        <w:spacing w:after="0" w:line="258" w:lineRule="auto"/>
        <w:tabs>
          <w:tab w:leader="none" w:pos="65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Continuing to recruit additional personnel with an appropriate level of US GAAP knowledge and experience and providing additional training, especially within areas involving complex accounting considerations and non-routine transactions. In 2025 and continuing in the first quarter of 2026, we hired personnel in multiple roles in the accounting and financial reporting teams and engaged external resources to augment these teams</w:t>
      </w:r>
    </w:p>
    <w:p>
      <w:pPr>
        <w:spacing w:after="0" w:line="224" w:lineRule="exact"/>
        <w:rPr>
          <w:rFonts w:ascii="Times New Roman" w:cs="Times New Roman" w:eastAsia="Times New Roman" w:hAnsi="Times New Roman"/>
          <w:sz w:val="21"/>
          <w:szCs w:val="21"/>
          <w:color w:val="auto"/>
        </w:rPr>
      </w:pPr>
    </w:p>
    <w:p>
      <w:pPr>
        <w:ind w:left="660" w:right="100" w:hanging="328"/>
        <w:spacing w:after="0" w:line="256" w:lineRule="auto"/>
        <w:tabs>
          <w:tab w:leader="none" w:pos="65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Recruiting additional internal resources and engaging external consultants with knowledge of income tax accounting, and providing focused training to existing and new tax control owners over the control procedures, including the precision of review within existing income tax controls</w:t>
      </w:r>
    </w:p>
    <w:p>
      <w:pPr>
        <w:spacing w:after="0" w:line="203"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Recruiting additional IT personnel with experience in the Company’s operating systems and in the operation of IT general controls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60" w:hanging="328"/>
        <w:spacing w:after="0" w:line="246" w:lineRule="auto"/>
        <w:tabs>
          <w:tab w:leader="none" w:pos="65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Designing and implementing additional control activities to address risks related to areas of complex accounting and non-routine transactions, and ensuring that these controls operate at a level of precision to identify all potentially material misstatements of the Company’s consolidated interim and annual financial statements</w:t>
      </w:r>
    </w:p>
    <w:p>
      <w:pPr>
        <w:spacing w:after="0" w:line="2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Designing and implementing additional controls around the classification and presentation of transactions within the statements of cash flows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Designing and implementing additional control activities to increase and formalize internal communication of relevant information</w:t>
      </w:r>
    </w:p>
    <w:p>
      <w:pPr>
        <w:spacing w:after="0" w:line="238" w:lineRule="exact"/>
        <w:rPr>
          <w:rFonts w:ascii="Times New Roman" w:cs="Times New Roman" w:eastAsia="Times New Roman" w:hAnsi="Times New Roman"/>
          <w:sz w:val="22"/>
          <w:szCs w:val="22"/>
          <w:color w:val="auto"/>
        </w:rPr>
      </w:pPr>
    </w:p>
    <w:p>
      <w:pPr>
        <w:ind w:left="660" w:right="80" w:hanging="328"/>
        <w:spacing w:after="0" w:line="234" w:lineRule="auto"/>
        <w:tabs>
          <w:tab w:leader="none" w:pos="65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Designing and implementing additional IT general controls, and effectively operating existing IT general controls, related to financial accounting and reporting systems, including implementing monitoring controls, as appropriate</w:t>
      </w:r>
    </w:p>
    <w:p>
      <w:pPr>
        <w:spacing w:after="0" w:line="20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may also conclude that additional measures may be required to remediate the material weaknesses. We will continue to monitor the design and effectiveness of these and other processes, procedures and controls and make any further changes that management deems appropriate. Management remains committed to remediating these material weaknesses and maintaining an effective internal control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Other than the ongoing remediation efforts related to the material weaknesses described above, 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43" w:lineRule="exact"/>
        <w:rPr>
          <w:sz w:val="20"/>
          <w:szCs w:val="20"/>
          <w:color w:val="auto"/>
        </w:rPr>
      </w:pPr>
    </w:p>
    <w:p>
      <w:pPr>
        <w:ind w:right="740" w:firstLine="324"/>
        <w:spacing w:after="0" w:line="267" w:lineRule="auto"/>
        <w:rPr>
          <w:sz w:val="20"/>
          <w:szCs w:val="20"/>
          <w:color w:val="auto"/>
        </w:rPr>
      </w:pPr>
      <w:r>
        <w:rPr>
          <w:rFonts w:ascii="Times New Roman" w:cs="Times New Roman" w:eastAsia="Times New Roman" w:hAnsi="Times New Roman"/>
          <w:sz w:val="18"/>
          <w:szCs w:val="18"/>
          <w:color w:val="auto"/>
        </w:rPr>
        <w:t>Some of the factors that could materially and adversely affect our business, financial condition, results of operations or prospects include the following</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w:t>
      </w:r>
    </w:p>
    <w:p>
      <w:pPr>
        <w:spacing w:after="0" w:line="23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are subject to risks and uncertainties associated with the Restructuring Transaction, the Restructuring Plans and the RSA;</w:t>
      </w:r>
    </w:p>
    <w:p>
      <w:pPr>
        <w:spacing w:after="0" w:line="1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is dependent upon our ability to complete the Restructuring Transaction and delay capital expenditures;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events of default subject to forbearance could result in the acceleration of substantially all of our indebtedness;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Company into two independent entities as part of the Restructuring Transaction may result in operational, financial, tax and other risks, and there can be no assurance that the anticipated benefits of the separation will be realized;</w:t>
      </w:r>
    </w:p>
    <w:p>
      <w:pPr>
        <w:ind w:left="660" w:right="4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may decline in the future as a result of the Restructuring Transaction, including the proposed equity issuances and future grants under the Incentive Plan;</w:t>
      </w:r>
    </w:p>
    <w:p>
      <w:pPr>
        <w:ind w:left="660" w:right="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including material weaknesses identified as part of the restatement of our financial statements for the years ended December 31, 2024 and 2023 and the interim periods in the years ended December 31, 2025 and 2024, and our management has concluded that our disclosure controls and procedures were not effective as of March 31, 2026;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our infrastructure, facilities and vessels involves significant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contractors, operators and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to be a competitive source of energy in the markets in which we operate, and seek to operate, could adversely affect our expansion strategy;</w:t>
      </w:r>
    </w:p>
    <w:p>
      <w:pPr>
        <w:ind w:left="660" w:right="2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environment and our operations could be adversely affected by actions by governmental entities or changes to regulations and legislation;</w:t>
      </w:r>
    </w:p>
    <w:p>
      <w:pPr>
        <w:ind w:left="660" w:right="30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permits, approvals and authorizations from governmental and regulatory agencies and third parties on favorable terms could impede operations and construction;</w:t>
      </w:r>
    </w:p>
    <w:p>
      <w:pPr>
        <w:ind w:left="660" w:right="5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660" w:right="3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is substantially dependent on our current and future long-term agreements and the performance by customers under such agreements;</w:t>
      </w:r>
    </w:p>
    <w:p>
      <w:pPr>
        <w:ind w:left="660" w:right="20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currently dependent upon a limited number of customers, the loss of a significant customer could adversely affect our operating results;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3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convert our anticipated customer pipeline into binding long-term contracts, and if we fail to convert potential sales into actual sales, we will not generate the revenues and profits we anticipate;</w:t>
      </w:r>
    </w:p>
    <w:p>
      <w:pPr>
        <w:ind w:left="660" w:right="48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 may adversely affect our business and the performance of our customers;</w:t>
      </w:r>
    </w:p>
    <w:p>
      <w:pPr>
        <w:ind w:left="660" w:right="18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develop innovative and new technologies as part of our strategy that are not yet proven and may not realize the time and cost savings we expect to achieve;</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a significant amount of debt;</w:t>
      </w:r>
    </w:p>
    <w:p>
      <w:pPr>
        <w:spacing w:after="0" w:line="9" w:lineRule="exact"/>
        <w:rPr>
          <w:rFonts w:ascii="Times New Roman" w:cs="Times New Roman" w:eastAsia="Times New Roman" w:hAnsi="Times New Roman"/>
          <w:sz w:val="18"/>
          <w:szCs w:val="18"/>
          <w:color w:val="auto"/>
        </w:rPr>
      </w:pPr>
    </w:p>
    <w:p>
      <w:pPr>
        <w:ind w:left="660" w:right="80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environmental, social, health and safety laws and regulations could result in increased or more stringent compliance requirements, which may be difficult to comply with or result in additional costs;</w:t>
      </w:r>
    </w:p>
    <w:p>
      <w:pPr>
        <w:ind w:left="660" w:right="4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governmental export laws, and trade and economic sanctions laws and regulations, and anti-corruption laws and regulation;</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impairments to long-lived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 could have a material adverse effect on our operations and projects, as well as on the economies in the markets in which we operate or plan to operate;</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failures and cyberattacks could affect us significantly;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be insufficient to cover losses that may occur to our property or result from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key members of our management;</w:t>
      </w:r>
    </w:p>
    <w:p>
      <w:pPr>
        <w:spacing w:after="0" w:line="9" w:lineRule="exact"/>
        <w:rPr>
          <w:rFonts w:ascii="Times New Roman" w:cs="Times New Roman" w:eastAsia="Times New Roman" w:hAnsi="Times New Roman"/>
          <w:sz w:val="18"/>
          <w:szCs w:val="18"/>
          <w:color w:val="auto"/>
        </w:rPr>
      </w:pPr>
    </w:p>
    <w:p>
      <w:pPr>
        <w:ind w:left="660" w:right="42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increased labor costs and regulation, and the unavailability of skilled workers or our failure to attract and retain qualified personnel, could adversely affect 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Jurisdictions in Which We Operate</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economic, political, social and other conditions in the jurisdictions in which we operate;</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operating results may be adversely affected by foreign exchange fluctuations;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Class A Common Stock</w:t>
      </w:r>
    </w:p>
    <w:p>
      <w:pPr>
        <w:spacing w:after="0" w:line="252" w:lineRule="exact"/>
        <w:rPr>
          <w:sz w:val="20"/>
          <w:szCs w:val="20"/>
          <w:color w:val="auto"/>
        </w:rPr>
      </w:pPr>
    </w:p>
    <w:p>
      <w:pPr>
        <w:ind w:left="660" w:right="14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Class A common stock has in the past and may continue to be volatile, which has subjected and may in the future subject us to securities class action litigation and could result in rapid and substantial losses for our stockholders;</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the Restructuring Transaction, a small number of our original investors have the ability to direct a significant amount of our common stock, and their interests may conflict with those of our other stockholders;</w:t>
      </w:r>
    </w:p>
    <w:p>
      <w:pPr>
        <w:ind w:left="660" w:right="3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to holders of our Class A common stock is at the discretion of our board of directors and we do not expect to pay dividends for the foreseeable future;</w:t>
      </w:r>
    </w:p>
    <w:p>
      <w:pPr>
        <w:jc w:val="both"/>
        <w:ind w:left="660" w:right="40" w:hanging="328"/>
        <w:spacing w:after="0" w:line="265"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issuances of our Class A common stock could adversely affect the market price of our Class A common stock;</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maintain the listing of our common stock on the Nasdaq stock market or another national securities exchange;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252" w:lineRule="exact"/>
        <w:rPr>
          <w:sz w:val="20"/>
          <w:szCs w:val="20"/>
          <w:color w:val="auto"/>
        </w:rPr>
      </w:pPr>
    </w:p>
    <w:p>
      <w:pPr>
        <w:ind w:left="660" w:right="180" w:hanging="328"/>
        <w:spacing w:after="0" w:line="263"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operational and consolidated financial results are dependent on the results of our subsidiaries, affiliates, joint ventures and special purpose entities in which we invest</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8"/>
          <w:szCs w:val="18"/>
          <w:color w:val="auto"/>
        </w:rPr>
      </w:pPr>
    </w:p>
    <w:p>
      <w:pPr>
        <w:ind w:left="660" w:right="160" w:hanging="328"/>
        <w:spacing w:after="0" w:line="24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continue to engage in mergers, sales and acquisitions, reorganizations or similar transactions related to our businesses or assets and we may fail to successfully complete such transaction or to realize the expected value;</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tax laws in any country in which we operate could adversely affect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 involved in legal proceedings and may experience unfavorable outcomes.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the Restructuring Transaction, the Restructuring Plans and the RSA.</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March 17, 2026, we entered into a RSA with certain of our key creditors, which contemplates a comprehensive restructuring of our principal funded debt obligations. The Company intends to implement the Restructuring Transaction through UK court-sanctioned Restructuring Plans promoted by two indirect subsidiaries, with recognition sought in the U.S. under chapter 15 of the U.S. Bankruptcy Code, which will bind all lenders and noteholders and release the Company and all guarantors from obligations under the relevant debt instruments. For further discussion on the RSA, the Restructuring Plans and the Restructuring Transaction, see Note 2 of our condensed consolidated financial statements.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successful implementation of the RSA, the Restructuring Plans and the Restructuring Transaction is critical to our ability to continue as a going concern and is subject to numerous conditions, milestones, and approvals, including the consent of various creditor groups, certain stockholder approvals and approval by the UK High Court and U.S. Bankruptcy Court, and regulatory authorities. Failure to satisfy or obtain waivers for these conditions or to meet required milestones could result in the termination of the RSA, loss of creditor support, or inability to consummate the Restructuring Transaction as contemplated. There can be no assurance that the Restructuring Transaction will be completed on the terms described, on the anticipated timeline, or at all. Failure to consummate the Restructuring Transaction would result in the Company being required or compelled to pursue alternative in-court restructuring initiatives to preserve value, which would have a material adverse effect on our business, financial condition, results of operations, and the value of our securities and likely result in no recovery to stockholders.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are subject to additional risks in connection with the Restructuring Transaction, the Restructuring Plans and the RSA, including the following:</w:t>
      </w:r>
    </w:p>
    <w:p>
      <w:pPr>
        <w:spacing w:after="0" w:line="225" w:lineRule="exact"/>
        <w:rPr>
          <w:sz w:val="20"/>
          <w:szCs w:val="20"/>
          <w:color w:val="auto"/>
        </w:rPr>
      </w:pPr>
    </w:p>
    <w:p>
      <w:pPr>
        <w:ind w:left="660" w:right="3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UK High Court’s approval of the Restructuring Plans and recognition of the Restructuring Plans in the United States pursuant to chapter 15 of the U.S. Bankruptcy Code;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milestones set forth in the RSA;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Restructuring Transaction and related fees;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implementing the Restructuring Transaction may divert management’s attention and resources, result in increased costs, and adversely affect our relationships with customers, suppliers, employees, and other stakeholders;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Restructuring Transaction is expected to result in significant dilution to existing holders of our Class A common stock and existing stockholders will exercise even less influence over management than they currently have;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Class A common stock may be highly volatile or decline as a result of the Restructuring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Class A common stock by NASDAQ as a consequence of the Restructuring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our other creditors, employees, customers, vendors, suppliers and other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contracts that are critical to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competitive contracts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management team;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0"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and decisions of our stockholders, creditors and other third parties who have interests in the Restructuring Transaction and the RSA that may be inconsistent with our plans.</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Restructuring Transaction, we may not be able to predict or quantify the ultimate impact the Restructuring Transaction may have on our business, cash flows, liquidity, financial condition, and results of operations, nor can we accurately predict the ultimate impact the Restructuring Transaction may have on our corporate or capital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as a going concern is dependent upon our ability to complete the Restructuring Transaction and delay capital expenditures.</w:t>
      </w:r>
    </w:p>
    <w:p>
      <w:pPr>
        <w:spacing w:after="0" w:line="229"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As discussed in Note 2 to the condensed consolidated financial statements included elsewhere in this Quarterly Report, management has concluded that, our current liquidity and forecasted cash flows from operations are not probable to be sufficient to support, in full, obligations as they become due over the next twelve-month period, and there is substantial doubt as to the Company’s ability to continue as a going concern. If the Restructuring Transaction is not consummated as contemplated, the Company will be required or compelled to pursue alternative in-court restructuring initiatives to preserve value, which would have a material and adverse impact on stockholders and likely result in no recovery to stockholders. The process of implementing the Restructuring Transaction and the associated Restructuring Plans is subject to significant risks and uncertainties, including the need for sanction by the UK High Court, recognition in the United States under chapter 15 of the U.S. Bankruptcy Code, and approval of several stockholder proposals. See “Risks Related to our Business—We are subject to risks and uncertainties associated with the Restructuring Transaction, the Restructuring Plans and the RSA.” There is no assurance that these approvals will be obtained on the anticipated timeline or at all. The Company and its creditors must also negotiate and finalize definitive documentation, and any failure to reach agreement or to satisfy the process milestones could result in termination of the RSA, after which creditors may pursue enforcement actions that could accelerate the Company’s financial distress. In addition, volatility in financial markets, changes in interest rates, or adverse economic developments could impact the Company’s ability to raise additional capital or refinance obligations, even during the restructuring process. The Company must also meet a consolidated minimum liquidity threshold at closing, and if this threshold is not met, it may be required to raise additional capital under tight time constraints, which may not be possible on acceptable terms.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Even if the Restructuring Transaction is completed, the Company will continue to face substantial risks. Its future performance will depend on its ability to execute its revised business plan, which may be subject to operational, regulatory, and market risks, and it may require additional funding in the future to support operations, capital expenditures, or growth initiatives. There is no assurance that such funding will be available on favorable terms, or at all. The new debt and equity instruments issued in the restructuring may impose significant restrictions on the Company’s operations, including limitations on incurring additional indebtedness, asset sales, and distributions. The restructuring will result in significant dilution to existing equity holders, and the value of new equity securities may be volatile and subject to further decline. In addition to the Restructuring Transaction and the separation of BrazilCo, the Company continues to actively consider and evaluate further opportunistic strategies that seek to optimize the value of CoreCo’s portfolio, while providing additional liquidity and cash flow to the remaining CoreCo business. These strategies may include the sale of certain CoreCo assets, capital raising transactions or other strategic transactions. However, there are inherent uncertainties regarding the ability of CoreCo to effect any such transactions, and substantial risks relating to the ability of CoreCo to realize the anticipated benefits of pursuing one or more of these strategies. As such, even if the Restructuring Transaction is completed, substantial risks will remain that could adversely affect the Company’s financial condition, results of operations, and events of default under the Company’s debt agreements, and management has concluded that there is substantial doubt as to the Company’s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RSA is terminated, our ability to consummate the Restructuring Plans may be materially and adversely affected.</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RSA contains a number of termination events, upon the occurrence of which certain parties to the RSA may terminate the agreement. If the RSA is terminated as to all parties thereto, each of the parties will be released from its obligations in accordance with the terms of the RSA. Such termination may result in the loss of support for the Restructuring Plans by the parties to the RSA, which could adversely affect our ability to confirm and consummate the Restructuring Plans. If the Restructuring Plans are not consummated, there can be no assurance that any new plan would be as favorable to holders of claims against the Company as contemplated by the RSA.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the Restructuring Plans requires the approval of the Restructuring Plan creditors.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Pursuant to Part 26A of the UK Companies Act 2006, in order for the CoreCo Plan to become legally binding on NFE Global and the creditors subject to the CoreCo Plan, either: (a) a majority representing 75% in value of each class of CoreCo Plan creditors present and voting at the meeting ordered to be summoned by the UK High Court votes in favor of the CoreCo Plan; or (b) a majority representing 75% in value of at least one class of CoreCo Plan creditors votes in favor of the CoreCo Plan and the UK High Court is satisfied that: (i) that class would receive a payment and/or have a genuine economic interest in NFE Global in the relevant alternative, and (ii) each dissenting class would be no worse off under the CoreCo Plan than in the relevant alternative; the BrazilCo Plan to become legally binding on NFE Brazil Newco and the creditors subject to the BrazilCo Plan, a majority representing 75% in value of the class of BrazilCo Plan Creditors votes in favor of the BrazilCo Plan, (the “BrazilCo Plan Requisite Approval”). In order for the Restructuring Plans to become effective, the Restructuring Plans must then be sanctioned by an order of the UK High Court, and an official copy of the order must be delivered to the Registrar of Companies in England and Wales for registration. The Restructuring Plans are conditional upon each other. If the Restructuring Plans become effective (i) the CoreCo Plan creditors will be bound by the terms of the CoreCo Plan, and (ii) the BrazilCo Plan creditors will be bound by the terms of the BrazilCo Plan, in both cases from the effective date of the Restructuring Plans. Although creditors that are party to the RSA are expected to vote in favor of the Restructuring Plans, in the event that the RSA was terminated in accordance with its terms, any Restructuring Plan creditor that was party to the RSA would cease to be bound by its obligation to support the Restructuring Plans. If the BrazilCo Plan Requisite Approval is not obtained, the Restructuring Plans will not become effective and the Restructuring Transaction will not be implemented. Even if the CoreCo Plan creditors approve the CoreCo Plan and the BrazilCo Plan creditors approve the BrazilCo Plan, the Restructuring Plans may be objected to and may not be completed. If the CoreCo Plan is approved at the creditor meetings for the CoreCo Plan and the BrazilCo Plan is approved at the creditor meeting for the BrazilCo Plan, it is possible for a person with an interest in the relevant Restructuring Plans (whether a Restructuring Plan creditor or otherwise) to lodge objections to the relevant Restructuring Plans with the UK High Court, and, if such objections have been lodged, to attend or be represented at the Restructuring Plans sanction hearing to make representations that the relevant Restructuring Plans should not be approved and/or to appeal against the granting of the sanction order. Therefore, there can be no assurance that objections will not be made at or before the sanction hearing, or that an appeal will not be made against the grant of the sanction order and that any such objections or appeal will not delay or possibly prevent the Restructuring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the Restructuring Plans requires the sanction of the UK High Court.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order for the Restructuring Plans to become effective, they must receive the sanction of the UK High Court. The UK High Court will not sanction the Restructuring Plans unless it is satisfied that the correct procedures have been followed, the proposed arrangements are fair and that there are no other reasons why the Restructuring Plans should not be approved. There can be no assurance that the UK High Court will determine that the Restructuring Plans are fair or that the UK High Court will not conclude that there are other reasons why the Restructuring Plans should not be sanctioned. If the UK High Court does not exercise its discretion to sanction the Restructuring Plans, or sanctions either Restructuring Plans subject to conditions or amendments which: (i) the Company deems unacceptable; or (ii) would have (directly or indirectly) a material adverse effect on the interests of any Restructuring Plan creditor and such conditions or amendments are not approved by the Restructuring Plan creditors, the Restructuring Plans will not become effective and the Restructuring Transaction will not be implemented.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the Company’s contracts may contain termination clauses which could be triggered by the Restructuring Plans.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may be party to certain contracts that contain termination provisions which may be triggered by the Restructuring Plans. Certain of these material contracts might also be terminable as a result of insolvency-related events. There can be no assurance that the Company has identified all contracts material to its business with termination clauses that may be triggered by the Restructuring Plans or insolvency-related events. If the Company triggers such a termination clause in any of its material contracts (or in a number of contracts that, when looked at together, are material to its business) and a consent or waiver is not obtained from the relevant counterparty, such counterparty may terminate or threaten to terminate the contract, which could have a material adverse effect on the Company’s business, operating results, financial condition or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Restructuring Plans may not be recognized or enforced in the United States or Mexico.</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It is contemplated that the PlanCos will seek recognition of the Restructuring Plans under Chapter 15 of the U.S. Bankruptcy Code. However, there is a possibility that the U.S. Bankruptcy Court will not recognize the Restructuring Plans under Chapter 15 of the U.S. Bankruptcy Code. Notwithstanding the view expressed in the foreign expert opinion obtained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by the PlanCos, if the U.S. Bankruptcy Court declines to issue the U.S. Chapter 15 recognition order, the Restructuring Plans may not be recognized or be enforceable against a Restructuring Plan creditor in the United States. In these circumstances, the Restructuring Plan creditors would not be prevented from trying to enforce their rights in the applicable courts, as they otherwise would be if the U.S. Chapter 15 recognition order were granted. The PlanCos intend to obtain a foreign expert opinion that the Restructuring Plans will be recognized in Mexico. Notwithstanding the view expressed in the foreign expert opinion, the Restructuring Plans may not be recognized or be enforceable against a Restructuring Plan creditor in Mexico. In these circumstances, the Restructuring Plan creditors would not be prevented from trying to enforce their rights in the applicable courts.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events of default subject to forbearance could result in the acceleration of substantially all of our indebtedness.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currently in default under the New 2029 Notes, Revolving Credit Agreement, the Term Loan A Credit Agreement, the Term Loan B Credit Agreement, the 2026 Notes, the 2029 Notes and certain intercompany debt.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applicable lenders or holders could accelerate the outstanding indebtedness under each of the foregoing debt instruments.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in March 2026, the Company entered into a forbearance agreement pursuant to which the lenders under the Letter of Credit Facility agreed not to exercise any remedies, subject to certain conditions, and to refrain from exercising remedies with respect to certain defaults until September 15, 2026. If the forbearance agreement is terminated, the lenders thereunder could accelerate the outstanding indebtedness. There can be no assurance that the lenders will agree to extend the forbearance period, waive existing or future defaults, or otherwise continue to refrain from exercising remedies. If the forbearance arrangement is terminated or not extended or if the Restructuring Transaction is not completed, the lenders could accelerate the outstanding indebtedness under the Letter of Credit Facility.</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our indebtedness under any of the foregoing facilities or agreements were accelerated, we would not have sufficient liquidity to repay such amounts, and we may be forced to seek additional waivers, amendments, or alternative restructuring transactions, including potentially commencing formal insolvency proceedings. Any of these outcomes could materially and adversely affect our business, financial condition, and results of operations.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of the Company into two independent entities as part of the Restructuring Transaction may result in operational, financial, tax and other risks, and there can be no assurance that the anticipated benefits of the separation will be realized.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consummated, the Restructuring Transaction will result in a substantial reduction of the Company’s indebtedness, as well as the divestiture in full of BrazilCo, which holds the Company’s Brazil business. The loss of the Brazil business will materially reduce the Company’s asset base, revenue streams, and geographic diversification. As disclosed, the Brazil business includes major facilities such as the Barcarena Facility, the Barcarena Power Plant, and the PortoCem Power Plant, all of which are either operational or in advanced stages of development and are expected to generate substantial revenues under long-term contracts. Upon completion of the Restructuring Transaction, the Company will no longer own or consolidate the results of these businesses, which will have a material effect on our consolidated results of operations and financial condition. The planned separation, including the transfer of equity interests in certain subsidiaries to creditors or third parties, introduces significant operational, financial, and legal uncertainties. The divestiture of a core business may disrupt ongoing operations, result in the loss of key personnel, customers, or suppliers associated with the Brazil business, and require substantial management attention and resources to manage the transition. The Company may also face challenges in reallocating resources, restructuring remaining operations, and maintaining relationships with stakeholders who may perceive the Company as less diversified or less stable following the loss of a major business segment. There is no assurance that the separation will achieve its intended benefits, and the Company may face challenges in executing the separation efficiently or in a manner that preserves value for stakeholders. In addition, the Company may be exposed to additional risks related to the allocation of liabilities, potential disputes with creditors or counterparties, and the need to comply with regulatory and contractual obligations arising from the separation.</w:t>
      </w:r>
    </w:p>
    <w:p>
      <w:pPr>
        <w:spacing w:after="0" w:line="1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decline in the future as a result of the Restructuring Transaction, including the proposed equity issuances and future grants under the Incentive Plan.</w:t>
      </w:r>
    </w:p>
    <w:p>
      <w:pPr>
        <w:spacing w:after="0" w:line="15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part of the Restructuring Transaction contemplated by the RSA, certain existing lenders and noteholders will receive a substantial number of shares of newly-issued CoreCo Convertible Preferred Stock and Class A common stock.</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will issue to these lenders and noteholders CoreCo Convertible Preferred Stock that is mandatorily convertible after three years into a number of shares of Class A common stock representing 87% of the fully-diluted Class A common stock outstanding as of the closing of the Restructuring Transaction (after giving effect to the shares of the Company’s Class A common stock to be issued on the closing date of the Restructuring Transaction and shares authorized under the Incentive Plan), and holders of the CoreCo Convertible Preferred Stock will vote on an as-converted basis with the Class A common stock during the first three years. Additionally, the Company will issue to certain existing lenders and noteholders shares of Class A common stock representing 65% of the Company’s Class A common stock as of the closing date of the Restructuring Transaction (before giving effect to shares authorized under the Incentive Plan or any conversion of the CoreCo Convertible Preferred Stock into the Company’s Class A common stock). If approved, the number of shares reserved under the Incentive Plan would represent approximately 10% of the Class A common stock outstanding as of the closing date of the Restructuring Transaction (before giving effect to any conversion of the CoreCo Convertible Preferred Stock). These parties may (subject to any contractual limitations, if applicable) seek to sell their shares. Other stockholders may also seek to sell shares held by them following, or in anticipation of, the completion of the Restructuring Transaction. Sales of substantial amounts of Class A common stock in the public market, or the perception that these sales could occur, coupled with the increase in the outstanding number of shares of Class A common stock relative to shares outstanding as of the date of this Annual Report, could cause the market price of our Class A common stock to decline.</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including material weaknesses identified as part of the restatement of our financial statements for the years ended December 31, 2024 and 2023 and the interim periods in the year ended December 31, 2025 and 2024, and our management has concluded that our disclosure controls and procedures were not effective as of March 31, 2026. Failure to remediate the material weaknesses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In addition, if we fail to maintain adequate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has identified material weaknesses in the Company’s internal control over financial reporting, including material weaknesses identified as part of the restatement of our financial statements for the years ended December 31, 2024 and 2023 and the interim periods in the year ended December 31, 2025 and 2024, and concluded that our disclosure controls and procedures were not effective as of March 31, 2026.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4, Controls and Procedures.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in the process of implementing remediation plans intended to address these material weaknesses. However, we may not be successful in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including stock exchange listing requirements and debt instruments’ covenants regarding the timely filing of periodic reports, and adversely impact our liquidity, access to capital markets and perceptions of our creditworthiness, each of which could have a material adverse effect on our financial condition and the trading price of our common stock or cause investors or customers to lose confidence in our reported financial information.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implement our business strategy may be materially and adversely affected by many known and unknown factors.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183" w:lineRule="exact"/>
        <w:rPr>
          <w:sz w:val="20"/>
          <w:szCs w:val="20"/>
          <w:color w:val="auto"/>
        </w:rPr>
      </w:pPr>
    </w:p>
    <w:p>
      <w:pPr>
        <w:ind w:left="660" w:right="5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our target costs for the purchase, liquefaction and export of natural gas and/or LNG and our target pricing for long-term contracts;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strategic relationships;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required governmental and regulatory approvals for the construction and operation of these projects and other relevant approvals;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laws and regulations, changes in laws or unfavorable interpretation or application of laws and regulations; and</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timing, pace and extent of economic growth in the United States, the other jurisdictions in which we operate and elsewhere, which in turn will likely affect demand for crude oil and natural gas.</w:t>
      </w:r>
    </w:p>
    <w:p>
      <w:pPr>
        <w:spacing w:after="0" w:line="16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180"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construction risks.</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8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environmental or geological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delivery of equipment and supplies;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approvals, permits or other authorizations;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technical specifications or adjustments being required based on testing or commissioning;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commissioning or operating accidents that could result in personal injury or loss of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and qualified personnel to execute the project;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labor shortages, work stoppages or labor union disputes.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our first Fast LNG project in Altamira, Mexico, and no assurance can be given that we will not continue to experience in the future similar events, any of which could have a material adverse effect on our business, operating results, cash flows and liquidity.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 of our infrastructure, facilities and vessels involves significant risks.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existing infrastructure, facilities and vessels and expected future operations and businesses face operational risks,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below expected levels of efficiency or capacity or required changes to specifications for continued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breakdowns or failures of equipment or shortages or delays in the delivery of supplies;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errors by trucks, including trucking accidents while transporting natural gas, LNG or any other chemical or hazardous substance;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operators and service providers of tankers or tugs used in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errors by us or any contracted facility, port or other operator of related third-party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required government or regulatory approvals, permits or other authorizations;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fires, explosions or other events or catastrophes;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and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labor shortages, work stoppages or labor union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or natural disaster interruptions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release of or exposure to toxic substances or environmental contamination affecting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of any counterparty to any facility-related agreements to perform their contractual obligations;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by our customers;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and unplanned power outages or failures to supply due to scheduled or unscheduled maintenance.</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193"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contractors, operators and suppliers.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performance expectations, or if we experience delays or cost overruns in design, construction, commissioning or operation, our business, operating results, cash flows and liquidity could be materially and adversely affected.</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19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environment and our operations could be adversely affected by actions by governmental entities or changes to regulations and legislation.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these rules and regulations are assessed, managed, administered and enforced by various governmental agencies and bodies, whose actions and decisions could adversely affect our business or operations. 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the DOE and other federal and state regulatory agencies also contain ongoing conditions, and additional requirements may be imposed. On December 17, 2024, the DOE publicly released a multi-volume study of its view of the potential effects of U.S. LNG exports on the domestic economy (the “2024 LNG Export Study”);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On May 19, 2025, the DOE released its Response to Comments on the 2024 LNG Export Study. While the current U.S. administration supports and is widely expected to continue to support LNG exports, there can be no assurance as to its future policies, or the impact of those policies on our existing and future projects.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 For additional detail, see “Management’s Discussion and Analysis of Financial Condition and Results of Operations - Other Matters.”</w:t>
      </w:r>
    </w:p>
    <w:p>
      <w:pPr>
        <w:spacing w:after="0" w:line="19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No assurance can be given that we will be able to obtain approval of all applications or receive the required permits, approvals and authorizations from governmental and regulatory agencies related to our projects with favorable terms on a timely basis or at all. We cannot make any assurance as to if or when we will receive these permits, which are needed prior to commencing certain construction activities related to our projects. Any administrative and judicial challenges to our permits can delay and protract the process for obtaining and implementing permits and can also add significant costs and uncertainty. We cannot control the outcome of any review or approval process, including whether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complied with applicable requirements, which could lead to fines or restrictions on our operations. For example, on September 26, 2024, we received a letter from the Coast Guard alleging that some aspects of our vessel operations may not comply with all applicable requirements. On October 21, 2024, we filed an appeal with USCG under 33 CFR 160.7. However, in December 2024 and February 2025, we submitted an updated Letter of Intent and Waterway Suitability Assessments detailing our alternative operational plans to the USCG. In concert with our collaboration with the USCG regarding our new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spacing w:after="0" w:line="19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that in the future we will obtain and maintain required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sufficient working capital could limit our growth and harm our business, financial condition and results of operations.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initiatives, such as the development of our facilities, which may harm our business, financial condition and results of operations.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revenues is substantially dependent on our current and future long-term agreements and the performance by customers under such agreements.</w:t>
      </w:r>
    </w:p>
    <w:p>
      <w:pPr>
        <w:spacing w:after="0" w:line="15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including as a result of changing trade policies and tariffs and the related uncertainty thereof, increase the risk of nonpayment and nonperformance by customers, particularly customers that have sub-investment grade credit ratings.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20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for the three months ended March 31, 2026, include our San Juan Facility, La Paz Facility and certain industrial end-users, and exclude developments in our Puerto Sandino Facility, Barcarena Facility, Santa Catarina Facility and Ireland Facility. Mexico and Puerto Rico have historically experienced economic volatility and the general condition and performance of their economies, over which we have no control, may affect our business, financial condition and results of operations. Mexico and Puerto Rico are subject to acts of terrorism or sabotage and natural disasters, in particular hurricanes, extreme weather conditions, crime and similar other risks which may negatively impact our operations in the region. See “—Risks Related to the Jurisdictions in Which We Operate—We are subject to the economic, political, social and other conditions in the jurisdictions in which we operate.” We may also be affected by trade restrictions, such as tariffs or other trade controls. For instance, there continues to be significant uncertainty about the future relationship between the United States and other countries, including with respect to trade policies, treaties, government regulations, sanctions, tariffs, and application thereof. For example, in April 2025, the U.S. government began imposing tariffs intended to address trade deficits and inconsistent economic treatment of importation between the United States and other countries. In response, China, among others, has announced retaliatory tariffs against certain imports from the United States. Although we are continuing to evaluate the impact of these evolving developments, we cannot provide any assurance about the ultimate outcome or impact of these developments or other changes in trade policies, including the imposition, application or enforceability of tariffs between the United States and other countries. Furthermore, changes to trade policies, retaliatory measures, the ability to obtain refunds for previously paid tariffs that have subsequently been invalidated or prolonged uncertainty in trade relationships may negatively impact our operations and financial results, including through resulting supply chain disruptions, increased economic nationalism, negative macroeconomic conditions and increased operational complexity and costs.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downturns,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currently dependent upon a limited number of customers, the loss of a significant customer could adversely affect our operating results.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current results of operations and liquidity are, and will continue to be in the near future, substantially dependent upon a limited number of customers, including CFE and PREPA, which have each entered into long-term GSAs.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our customers are subject to termination under certain circumstances.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contracts with our customers contain various termination rights. For example, each of our long-term customer contracts, including the contracts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 contain various termination rights allowing our customers to terminate the contract, including, without limitation: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events of force majeure;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make available specified scheduled cargo quantities;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uncured payment defaults;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insolvency event;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uncured, material breaches</w:t>
      </w:r>
    </w:p>
    <w:p>
      <w:pPr>
        <w:spacing w:after="0" w:line="225"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spacing w:after="0" w:line="18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worldwide LNG production capacity and availability of LNG for market supply;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natural gas but at levels below those required to maintain current price equilibrium with respect to supply;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to supply natural gas feedstock to our liquefaction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to supply LNG feedstock to our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cost of competing sources of natural gas, LNG or alternate fuels such as coal, HFO and ADO;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price of LNG;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displacement of LNG or fossil fuels more broadly by alternate fuels or energy sources or technologies (including but not limited to nuclear, wind, hydrogen, solar, biofuels and batteries) in locations where access to these energy sources is not currently available or prevalent.</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may not be able to successfully execute on our strategy to supply our existing and future customers with LNG produced primarily at our own liquefaction facilities and GSAs.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customers on a favorable basis, if at all, which would have a material adverse effect on our business, results of operations and financial condition.</w:t>
      </w:r>
    </w:p>
    <w:p>
      <w:pPr>
        <w:spacing w:after="0" w:line="22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Cyclical or other changes in the demand for and price of LNG and natural gas may adversely affect our business and the performance of our customers.</w:t>
      </w:r>
    </w:p>
    <w:p>
      <w:pPr>
        <w:spacing w:after="0" w:line="15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76" w:lineRule="exact"/>
        <w:rPr>
          <w:sz w:val="20"/>
          <w:szCs w:val="20"/>
          <w:color w:val="auto"/>
        </w:rPr>
      </w:pPr>
    </w:p>
    <w:p>
      <w:pPr>
        <w:ind w:left="660" w:right="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competitive regasification capacity in North America, Brazil, Europe, Asia and other markets, which could divert LNG or natural gas from our business;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trade policies and tariffs and the related uncertainty thereof, including the imposition of and enforceability of tariffs by China or any other jurisdiction on imports of LNG from the United States, trade wars, barriers or restrictions, or threats of such 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oversupply of natural gas liquefaction or export capacity worldwide;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LNG tanker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and lower prices for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natural gas production deliverable by pipelines, which could suppress demand for LNG;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oil and natural gas exploration activities, including shut-ins and possible proration, which may decrease the production of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improvements that allow competitors to offer LNG regasification services at reduced prices;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supplies of, and prices for, alternative energy sources, such as coal, oil, nuclear, hydroelectric, wind and solar energy, which may reduce the demand for natural gas;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natural gas producing regions;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relative demand for LNG compared to other markets, which may decrease LNG imports into or exports from North America;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trends in general business and economic conditions that cause changes in the demand for natural gas.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w:t>
      </w:r>
    </w:p>
    <w:p>
      <w:pPr>
        <w:spacing w:after="0" w:line="255" w:lineRule="auto"/>
        <w:rPr>
          <w:sz w:val="20"/>
          <w:szCs w:val="20"/>
          <w:color w:val="auto"/>
        </w:rPr>
      </w:pPr>
      <w:r>
        <w:rPr>
          <w:rFonts w:ascii="Times New Roman" w:cs="Times New Roman" w:eastAsia="Times New Roman" w:hAnsi="Times New Roman"/>
          <w:sz w:val="18"/>
          <w:szCs w:val="18"/>
          <w:color w:val="auto"/>
        </w:rPr>
        <w:t>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related to the ongoing war between Russia and Ukraine and the ongoing conflicts in the Middle East, as well as geopolitical instability in Venezuela, could adversely affect our business, contracts, financial condition, operating results, cash flows, liquidity and prospects.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Recent and ongoing geopolitical tensions and conflicts in key oil- and gas-producing regions, including Iran, Venezuela, the Middle East, and Eastern Europe, have created significant uncertainty and volatility in global energy markets. Our business, financial condition, results of operations, and prospects could be materially and adversely affected by developments in these regions, including but not limited to: military conflicts, sanctions, retaliatory measures, disruptions to energy infrastructure, and changes in global supply and demand dynamics for LNG and related commodities.</w:t>
      </w:r>
    </w:p>
    <w:p>
      <w:pPr>
        <w:spacing w:after="0" w:line="180"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For example, the escalation of hostilities involving Iran—including direct military actions, attacks on shipping vessels in the Strait of Hormuz (a critical chokepoint for global LNG and oil transport), and retaliatory strikes by or against Iran and its regional allies—has resulted in, and may continue to result in, increased shipping and insurance costs, supply chain disruptions, heightened security risks, and significant volatility in global energy prices. A prolonged or expanded conflict in the region could further disrupt international energy trade flows, constrain access to or increase the cost of imported energy and feedstock supplies, and negatively impact demand for LNG and other energy commodities. Similarly, Venezuela, which holds some of the world’s largest proven oil reserves, has experienced significant political, economic, and social instability, compounded by extensive international sanctions, including on its state-owned oil company. Any changes in the status of these sanctions, or a material increase in Venezuelan hydrocarbon production, could alter global supply dynamics and exert downward pressure on oil and LNG prices, adversely affecting our competitive position and financial performance.</w:t>
      </w:r>
    </w:p>
    <w:p>
      <w:pPr>
        <w:spacing w:after="0" w:line="1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imposition, expansion, or relaxation of sanctions or other trade restrictions by the United States, European Union, or other governments in response to geopolitical events in Iran, Venezuela, or other regions may impact our ability to source, transport, or sell LNG and related products, or may increase compliance costs and operational complexity. Our vessels, supply chain, and customer relationships could be adversely affected by disruptions in global shipping routes, increased risk of vessel seizures or attacks, or changes in insurance market conditions, including the potential loss or increased cost of war-risk coverage for vessels operating in or near conflict zones. We cannot predict the extent or duration of these geopolitical risks, nor their potential impact on global energy markets, LNG prices, or our operations. Any material escalation or regional expansion of conflicts, or significant changes in the regulatory or sanctions environment, could have a material adverse effect on our business, financial condition, results of operations, cash flows, and future growth prospects.</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use of hedging arrangements may adversely affect our future operating results or liquidity.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LNG suppliers and the development of our own portfolio is subject to various risks and assumptions.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2026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development of our own portfolio of LNG is subject to various risks and assumptions. In particular, the estimation of proved gas reserves involves subjective judgments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There is also a risk that one or more of our existing supply agreements could be cancelled by our counterparties, particularly if there are concerns regarding our ability to perform our obligations under such agreements or due to other contractual provisions. The cancellation of any of our supply agreements could significantly reduce our access to LNG, disrupt our ability to fulfill our commitments to downstream customers, and have a material adverse effect on our business, financial condition, results of operations, and liquidity.</w:t>
      </w:r>
    </w:p>
    <w:p>
      <w:pPr>
        <w:spacing w:after="0" w:line="19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that is processed, transported and/or stored on FSRUs and transported via pipeline is subject to risk of loss or damage.</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LNG processed, transported and stored on FSRUs may be subject to loss or damage resulting from equipment malfunction, faulty handling, cargo aging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tankers and other vessels outside of our fleet for our LNG transportation and transfer.</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rates for FSRUs and LNG carriers may fluctuate substantially. If rates are lower when we are seeking a new charter, our earnings may decline.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the capacity of our FSRUs and other facilities.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 of our vessels is dependent on our ability to deploy our vessels to an NFE terminal or to long-term charters.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values may fluctuate substantially and, if these values are lower at a time when we are attempting to dispose of vessels, we may incur a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 values can fluctuate substantially over time due to a number of different factors, including:</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supply of vessel capacity without a commensurate increase in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tank type and age of a vessel;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steel prices or modifying existing vessels, as a result of technological advances in vessel design or equipment, changes in applicable environmental or other regulations or standards, customer requirements or otherwise.</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spacing w:after="0" w:line="176" w:lineRule="exact"/>
        <w:rPr>
          <w:sz w:val="20"/>
          <w:szCs w:val="20"/>
          <w:color w:val="auto"/>
        </w:rPr>
      </w:pPr>
    </w:p>
    <w:p>
      <w:pPr>
        <w:ind w:right="440" w:firstLine="324"/>
        <w:spacing w:after="0" w:line="256" w:lineRule="auto"/>
        <w:rPr>
          <w:sz w:val="20"/>
          <w:szCs w:val="20"/>
          <w:color w:val="auto"/>
        </w:rPr>
      </w:pPr>
      <w:r>
        <w:rPr>
          <w:rFonts w:ascii="Times New Roman" w:cs="Times New Roman" w:eastAsia="Times New Roman" w:hAnsi="Times New Roman"/>
          <w:sz w:val="18"/>
          <w:szCs w:val="18"/>
          <w:color w:val="auto"/>
        </w:rPr>
        <w:t>During the period a vessel is subject to a charter, we will not be permitted to sell it to take advantage of increases in vessel values without the charterers’ consent. If a charter terminates, we may be unable to re-deploy the affected vessels at 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vessels, which could interrupt our cash flow.</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seek to develop innovative and new technologies as part of our strategy that are not yet proven and may not realize the time and cost savings we expect to achieve.</w:t>
      </w:r>
    </w:p>
    <w:p>
      <w:pPr>
        <w:spacing w:after="0" w:line="159"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7"/>
          <w:szCs w:val="17"/>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w:t>
      </w:r>
    </w:p>
    <w:p>
      <w:pPr>
        <w:ind w:right="20"/>
        <w:spacing w:after="0" w:line="256" w:lineRule="auto"/>
        <w:rPr>
          <w:sz w:val="20"/>
          <w:szCs w:val="20"/>
          <w:color w:val="auto"/>
        </w:rPr>
      </w:pPr>
      <w:r>
        <w:rPr>
          <w:rFonts w:ascii="Times New Roman" w:cs="Times New Roman" w:eastAsia="Times New Roman" w:hAnsi="Times New Roman"/>
          <w:sz w:val="18"/>
          <w:szCs w:val="18"/>
          <w:color w:val="auto"/>
        </w:rPr>
        <w:t>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a new strategy and may encounter unforeseen or unknown operational risks.”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 may impair the economic attractiveness of our projects.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success of our current operations and future projects will depend in part on our ability to create and maintain a competitive position in the natural gas liquefaction industry, including using technologies. Such technologies may be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Fast LNG technology is a new strategy and may encounter unforeseen or unknown operational risks.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unforeseen and unknown operational risks. We have commenced operations at our first Fast LNG facility. We are exploring opportunities to sell and complete development of our second FLNG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is a new strategy,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continue to successfully develop, construct and implement our Fast LNG projects, and even if we succeed in continuing to develop and construct the technology, we may ultimately not be able to realize the cost savings and revenues we currently expect to achieve them, which could result in a material adverse effect upon our operations and business.</w:t>
      </w:r>
    </w:p>
    <w:p>
      <w:pPr>
        <w:spacing w:after="0" w:line="1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a significant amount of debt. The agreements governing our significant indebtedness place restrictions on us and our subsidiaries, reducing operational and financing flexibility and creating default risks.</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On an ongoing basis, we engage with lenders and other financial institutions in an effort to improve our liquidity and capital resources. As of December 31, 2025, we had approximately $8.3 billion aggregate principal amount of indebtedness outstanding on a consolidated basis (which does not include any unconsolidated debt). The terms and conditions of our indebtedness, including the 2026 Notes Indenture, the 2029 Notes Indenture, certain intercompany credit agreements and existing credit agreements,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Refer to “Management’s Discussion and Analysis of Financial Condition and Results of Operations—Long Term Debt” for further discussion of our existing credit agreements.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Amendments and forbearances in connection with our Revolving Credit Agreement, Letter of Credit Agreement, Term Loan B Credit Agreement, Term Loan A Credit Agreement, the New 2029 Notes Indenture (defined below) and certain intercompany credit agreements have terms and conditions that impose additional restrictive covenants that further limit our ability to operate our business, to incur or refinance our debt, pay dividends or make distributions or make certain other restricted payments, create liens on our or our subsidiaries’ assets, sell or otherwise dispose of assets or engage in certain transactions.</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did not make certain interest and principal payments that were due during the fiscal quarters ended December 31, 2025 and March 31, 2026 under the New 2029 Notes, Term Loan A Credit Agreement, Term Loan B Credit Agreement, the Revolving Credit Agreement and the EB-5 Loan Agreement, resulting in events of default under these debt agreements. Additionally, the Company did not make interest and principal payments due in the fiscal quarter ended March 31, 2026 on the 2026 Notes and 2029 Notes, which will result in events of default under each series of notes if not cured within 30 days. The defaults under the New 2029 Notes, Term Loan A Credit Agreement, Term Loan B Credit Agreement and the Revolving Credit Agreement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and noteholders have the right to accelerate the outstanding principal balance and all other amounts owing under the New 2029 Notes, the Term Loan A Credit Agreement, Term Loan B Credit Agreement, the Revolving Credit Agreement and other loan documents. If the lenders and noteholders exercise such right, substantially all of the Company’s other outstanding debt would become payable on demand. In addition, the administrative agent under the Revolving Credit Agreement has the ability to exercise remedies on the collateral.</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17, 2026, we entered into a RSA with certain of our key creditors, which contemplates a comprehensive restructuring of our principal funded debt obligations. There can be no assurance that the Restructuring Transaction will be completed on the terms described, on the anticipated timeline, or at all. See “Our ability to continue as a going concern is dependent upon our ability to complete the Restructuring Transaction and delay capital expenditures” and “We are subject to risks and uncertainties associated with the Restructuring Transaction, the Restructuring Plans and the RSA.” The failure to consummate the Restructuring Transaction as contemplated by the RSA, or the occurrence of additional events or cross-acceleration, would result in the Company being required or compelled to pursue alternative in-court restructuring initiatives to preserve value, which would have a material adverse effect on our business, financial condition, results of operations, and the value of our securities and likely result in no recovery to stockholders.</w:t>
      </w:r>
    </w:p>
    <w:p>
      <w:pPr>
        <w:spacing w:after="0" w:line="18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level of indebtedness, we and our subsidiaries will be permitted to incur additional indebtedness in the future. This could further exacerbate the risks associated with our substantial indebtedness.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as our existing indebtedness matures, we may need to refinance that indebtedness with new indebtedness that may have a higher interest rate, which will increase our fixed costs. In accordance with the Restructuring Transaction, the Company will incur up to an aggregate amount of (i) $571.3 million of new term loans, $35 million of Senior Capital Raise Term Loans and Capital Raise Junior Term Loans in an aggregate principal amount, if any, required to satisfy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minimum liquidity threshold to the extent the minimum liquidity threshold is not satisfied after giving pro forma effect to the incurrence of the Senior Capital Raise Term Loans, each under the New CoreCo Credit Facility and (ii) $400 million of new term loans under the FLNG 2 Credit Facility.</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 If 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Indenture, issued in part to refinance our 6.750% Senior Secured Notes due 2025 (the “2025 Notes”), 2026 Notes and 2029 Notes, and in part to provide additional liquidity to the business, bear interest at a rate of 12.000% per annum, representing a significant increase in our annual interest expense, while also increasing our total aggregate principal amount of indebtedness outstanding. For additional detail, see “Management’s Discussion and Analysis of Financial Condition and Results of Operations—Recent Developments” and “Management’s Discussion and Analysis of Financial Condition and Results of Operations—Long Term Debt.”</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or modify existing, joint ventures that might restrict our operational and corporate flexibility or require credit support.</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impairments to long-lived assets.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59"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w:t>
      </w:r>
    </w:p>
    <w:p>
      <w:pPr>
        <w:spacing w:after="0" w:line="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damage or loss, contamination to the areas, and suspension of our operations. For example, our operations in the Gulf of America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5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79" w:lineRule="exact"/>
        <w:rPr>
          <w:sz w:val="20"/>
          <w:szCs w:val="20"/>
          <w:color w:val="auto"/>
        </w:rPr>
      </w:pPr>
    </w:p>
    <w:p>
      <w:pPr>
        <w:ind w:right="160" w:firstLine="324"/>
        <w:spacing w:after="0" w:line="273" w:lineRule="auto"/>
        <w:rPr>
          <w:sz w:val="20"/>
          <w:szCs w:val="20"/>
          <w:color w:val="auto"/>
        </w:rPr>
      </w:pPr>
      <w:r>
        <w:rPr>
          <w:rFonts w:ascii="Times New Roman" w:cs="Times New Roman" w:eastAsia="Times New Roman" w:hAnsi="Times New Roman"/>
          <w:sz w:val="18"/>
          <w:szCs w:val="18"/>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Greenhouse Gases/Climate Change</w:t>
      </w:r>
      <w:r>
        <w:rPr>
          <w:rFonts w:ascii="Times New Roman" w:cs="Times New Roman" w:eastAsia="Times New Roman" w:hAnsi="Times New Roman"/>
          <w:sz w:val="18"/>
          <w:szCs w:val="18"/>
          <w:color w:val="auto"/>
        </w:rPr>
        <w:t>. The threat of climate change continues to attract considerable attention in the United States and around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the current U.S. administration signed an executive order announcing the withdrawal of the United States from the Paris Agreement. Though most other countries (including those where we operate or plan to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operate) have signed or acceded to this agreement. In addition, in January 2026, the current U.S. administration announced that the United States was withdrawing from the United Nations Framework Convention on Climate Change and the various climate-related programs under this Framework.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legislation or regulatory initiatives may be adopted to achieve U.S. goals under the Paris Agreement. The current U.S. administration, however, has generally expressed opposition to regulatory initiatives aimed at restricting oil and gas operations and the impact the administration will have on any of these initiatives cannot be predicted.</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Fossil Fuels. </w:t>
      </w:r>
      <w:r>
        <w:rPr>
          <w:rFonts w:ascii="Times New Roman" w:cs="Times New Roman" w:eastAsia="Times New Roman" w:hAnsi="Times New Roman"/>
          <w:sz w:val="18"/>
          <w:szCs w:val="18"/>
          <w:color w:val="auto"/>
        </w:rPr>
        <w:t>Our business activities depend upon a sufficient and reliable supply of natural gas feedstock, and are therefore subject to concerns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Hydraulic Fracturing. </w:t>
      </w:r>
      <w:r>
        <w:rPr>
          <w:rFonts w:ascii="Times New Roman" w:cs="Times New Roman" w:eastAsia="Times New Roman" w:hAnsi="Times New Roman"/>
          <w:sz w:val="18"/>
          <w:szCs w:val="18"/>
          <w:color w:val="auto"/>
        </w:rPr>
        <w:t>Certain of our suppliers of natural gas and LNG employ hydraulic fracturing techniques to stimulate natural gas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Indigenous Communities</w:t>
      </w:r>
      <w:r>
        <w:rPr>
          <w:rFonts w:ascii="Times New Roman" w:cs="Times New Roman" w:eastAsia="Times New Roman" w:hAnsi="Times New Roman"/>
          <w:sz w:val="18"/>
          <w:szCs w:val="18"/>
          <w:color w:val="auto"/>
        </w:rPr>
        <w:t>. Indigenous communities—including, in Brazil, Afro-indigenous (“Quilombola”) communities—are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Environment and Renewable Resources, local environmental authorities in the localities in which we operate, the Federal Public Prosecutor’s Office and the National Indian Foundation (</w:t>
      </w:r>
      <w:r>
        <w:rPr>
          <w:rFonts w:ascii="Times New Roman" w:cs="Times New Roman" w:eastAsia="Times New Roman" w:hAnsi="Times New Roman"/>
          <w:sz w:val="18"/>
          <w:szCs w:val="18"/>
          <w:i w:val="1"/>
          <w:iCs w:val="1"/>
          <w:color w:val="auto"/>
        </w:rPr>
        <w:t>Fundação Nacional do Índio</w:t>
      </w:r>
      <w:r>
        <w:rPr>
          <w:rFonts w:ascii="Times New Roman" w:cs="Times New Roman" w:eastAsia="Times New Roman" w:hAnsi="Times New Roman"/>
          <w:sz w:val="18"/>
          <w:szCs w:val="18"/>
          <w:color w:val="auto"/>
        </w:rPr>
        <w:t xml:space="preserve"> or “FUNAI”) (for indigenous people) or Palmares Cultural Foundation (</w:t>
      </w:r>
      <w:r>
        <w:rPr>
          <w:rFonts w:ascii="Times New Roman" w:cs="Times New Roman" w:eastAsia="Times New Roman" w:hAnsi="Times New Roman"/>
          <w:sz w:val="18"/>
          <w:szCs w:val="18"/>
          <w:i w:val="1"/>
          <w:iCs w:val="1"/>
          <w:color w:val="auto"/>
        </w:rPr>
        <w:t>Fundação Cultural Palmares</w:t>
      </w:r>
      <w:r>
        <w:rPr>
          <w:rFonts w:ascii="Times New Roman" w:cs="Times New Roman" w:eastAsia="Times New Roman" w:hAnsi="Times New Roman"/>
          <w:sz w:val="18"/>
          <w:szCs w:val="18"/>
          <w:color w:val="auto"/>
        </w:rPr>
        <w:t>) (for Quilombola communities).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are several indigenous communities that surround our operations in Brazil. Certain of our subsidiaries have entered into agreements with some of these communities that mainly provide for the use of their land for our operations,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8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Offshore operations. </w:t>
      </w:r>
      <w:r>
        <w:rPr>
          <w:rFonts w:ascii="Times New Roman" w:cs="Times New Roman" w:eastAsia="Times New Roman" w:hAnsi="Times New Roman"/>
          <w:sz w:val="18"/>
          <w:szCs w:val="18"/>
          <w:color w:val="auto"/>
        </w:rPr>
        <w:t>Our operations in international waters and in the territorial waters of other countries are regulated by extensive and 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particular, development of offshore operations of natural gas and LNG are subject to extensive environmental, industry, maritime and social regulations. For example, the development and operation of our FLNG facility off the coast of Altamira, State of Tamaulipas, is subject to regulation by Mexico’s Ministry of Energy (</w:t>
      </w:r>
      <w:r>
        <w:rPr>
          <w:rFonts w:ascii="Times New Roman" w:cs="Times New Roman" w:eastAsia="Times New Roman" w:hAnsi="Times New Roman"/>
          <w:sz w:val="18"/>
          <w:szCs w:val="18"/>
          <w:i w:val="1"/>
          <w:iCs w:val="1"/>
          <w:color w:val="auto"/>
        </w:rPr>
        <w:t>Secretaría de Energía</w:t>
      </w:r>
      <w:r>
        <w:rPr>
          <w:rFonts w:ascii="Times New Roman" w:cs="Times New Roman" w:eastAsia="Times New Roman" w:hAnsi="Times New Roman"/>
          <w:sz w:val="18"/>
          <w:szCs w:val="18"/>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these laws and regulations, which may be subject to frequent revisions and reinterpretation, may increase our overall cost of business.</w:t>
      </w:r>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governmental export laws, and trade and economic sanctions laws and regulations, and anti-corruption laws and regulation.</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19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w:t>
      </w:r>
    </w:p>
    <w:p>
      <w:pPr>
        <w:spacing w:after="0" w:line="1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intermediaries in complying with the FCPA 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high-risk jurisdictions.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w:t>
      </w:r>
    </w:p>
    <w:p>
      <w:pPr>
        <w:spacing w:after="0" w:line="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their business.</w:t>
      </w:r>
    </w:p>
    <w:p>
      <w:pPr>
        <w:spacing w:after="0" w:line="15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8"/>
          <w:szCs w:val="18"/>
          <w:color w:val="auto"/>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contractual prohibitions on the charterer calling on ports in countries subject to comprehensive U.S. sanctions or otherwise engaging in commerce with such countries. However, our vessels may be sub-chartered out to a sanctioned party or call on ports of a sanctioned</w:t>
      </w:r>
    </w:p>
    <w:p>
      <w:pPr>
        <w:spacing w:after="0" w:line="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 or have other negative consequences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transportation regulations may increase our costs and negatively impact our results of operations.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w:t>
      </w:r>
    </w:p>
    <w:p>
      <w:pPr>
        <w:spacing w:after="0" w:line="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own the land on which our projects are located and are subject to leases, rights-of-ways, easements and other property rights for our operations.</w:t>
      </w:r>
    </w:p>
    <w:p>
      <w:pPr>
        <w:spacing w:after="0" w:line="15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have obtained long-term leases and corresponding rights-of-way agreements and easements with respect to the land on which various of our projects are located, including the San Juan Facility, facilities in Brazil such as the Garuva-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sustainability-related matters.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Governments, investors, customers, employees and other stakeholders are increasingly focusing on corporate sustainability practices and disclosures, and expectations, laws and regulations in this area continue to evolve.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the standards for tracking and reporting on sustainability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sustainability metrics, our interpretation of reporting standards may differ from those of others, and such standards may change over time, any of which could result in significant revisions to our goals or reported progress in achieving such goals. In this regard, the criteria by which our sustainability practices and disclosures are assessed may change due to the quickly evolving landscape, which could result in greater expectations of us and cause us to undertake costly initiatives to satisfy such new criteria. The increasing attention to corporate sustainability initiatives could also result in increased investigations and litigation or threats thereof. If we are unable to satisfy such new criteria, investors may conclude that our sustainability practices are inadequate. On the other hand, state attorneys general and other governmental authorities may take action against certain sustainability policies or practices, and we may become subject to restrictions on sustainability initiatives. If we fail or are perceived to have failed to achieve previously announced initiatives or goals or comply with various sustainability practices and regulations, or to accurately disclose our progress on such initiatives or goals, our reputation, business, financial condition and results of operations could be adversely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and cyberattacks could affect us significantly.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any of which could be enhanced or facilitated by AI.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Concerns relating to the responsible use of new and evolving technologies, such as AI, may result in reputational or financial harm and liability.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While the use of new and evolving technologies such as AI provides significant benefits, these technologies present a unique set of risks and challenges, including but not limited to dependency on accurate intelligence performance, potential security breaches, challenges in regulatory compliance, ethical considerations, potential workforce disruption, risks of intellectual property infringement, and other emerging technology, legal, social, and ethical risks. If we utilize AI solutions that have unintended consequences or may be deemed controversial, or if we are unable to develop effective internal policies and frameworks relating to the responsible use of AI, we may experience brand or reputational harm as well as potential legal liability. The use of AI could also increase our cost of doing business, and may change the way we operate in certain jurisdictions or impede our ability to do business in certain jurisdictions if we are unable to comply with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key members of our management, the loss of any of whom could disrupt our business operations.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w:t>
      </w:r>
    </w:p>
    <w:p>
      <w:pPr>
        <w:spacing w:after="0" w:line="1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crew members could adversely affect our operations, business, results of operations and financial condition. In addition, jurisdiction-specific employment, labor, and subcontracting laws may affect contracting strategies and impact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construction and operations.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adversely by labor disputes, strikes or work stoppages.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Jurisdictions in Which We Operate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economic, political, social and other conditions in the jurisdictions in which we operate.</w:t>
      </w:r>
    </w:p>
    <w:p>
      <w:pPr>
        <w:spacing w:after="0" w:line="229"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including changing trade policies and tariffs and the related uncertainty thereof,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20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operating results may be adversely affected by foreign exchange fluctuations.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 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A common stock has in the past and may continue to be volatile, which has subjected and may in the future subject us to securities class action litigation and could result in rapid and substantial losses for our stockholders.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market price of our Class A common stock has in the past and may continue to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1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investments,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markets and market sectors in which we participate.</w:t>
      </w:r>
    </w:p>
    <w:p>
      <w:pPr>
        <w:spacing w:after="0" w:line="225"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Stock markets in the United States have experienced extreme price and volume fluctuations. Market fluctuations, as well as general political and economic conditions such as acts of terrorism, prolonged economic uncertainty, changing</w:t>
      </w: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trade policies and tariffs and the related uncertainty thereof, including the imposition of and enforceability of new or additional tariffs, trade wars, barriers or restrictions, or threats of such actions, the potential for worsening economic conditions, economic downturn, a recession or interest rate or currency rate fluctuations, could adversely affect the market price of our Class A common stock.</w:t>
      </w:r>
    </w:p>
    <w:p>
      <w:pPr>
        <w:spacing w:after="0" w:line="18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addition, the completion of the Restructuring Transaction will result in significant dilution to existing holders of our Class A common stock. Upon consummation of the Restructuring Transaction, all shares of our Class A common stock outstanding immediately prior to the Restructuring Transaction will represent only 35% of the outstanding Class A common stock of the Company, with the remaining 65% held by creditors and other stakeholders following the restructuring. Furthermore, the mandatory conversion of the CoreCo Convertible Preferred Stock into Class A common stock on the third anniversary of the closing date of the Restructuring Transaction into a number of shares of Class A common stock representing 87% of the fully-diluted Class A common stock outstanding as of the closing of the Restructuring Transaction (after giving effect to the shares of the Company’s Class A common stock to be issued on the closing date of the Restructuring Transaction and shares authorized under the Incentive Plan), will result in the issuance of additional shares, further diluting the ownership interests of existing stockholders. The potential for future issuances of common stock upon conversion of preferred equity or in connection with incentive plans may also increase the number of shares outstanding and place downward pressure on the market price of our Class A common stock.</w:t>
      </w:r>
    </w:p>
    <w:p>
      <w:pPr>
        <w:spacing w:after="0" w:line="194" w:lineRule="exact"/>
        <w:rPr>
          <w:sz w:val="20"/>
          <w:szCs w:val="20"/>
          <w:color w:val="auto"/>
        </w:rPr>
      </w:pPr>
    </w:p>
    <w:p>
      <w:pPr>
        <w:jc w:val="both"/>
        <w:ind w:right="560" w:firstLine="324"/>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176" w:lineRule="exact"/>
        <w:rPr>
          <w:sz w:val="20"/>
          <w:szCs w:val="20"/>
          <w:color w:val="auto"/>
        </w:rPr>
      </w:pPr>
    </w:p>
    <w:p>
      <w:pPr>
        <w:ind w:right="700" w:firstLine="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the consummation of the Restructuring Transaction, a small number of our original investors have the ability to direct the voting of a significant amount of our common stock, and their interests may conflict with those of our other stockholders.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March 31, 2026, affiliates of certain entities controlled by Wesley R. Edens, Randal A. Nardone and affiliates of Fortress Investment Group LLC (“Founder Entities”) owned an aggregate of approximately 93,230,509 shares of Class A common stock, representing approximately 32.6% of our voting power, and affiliates of Energy Transition Holdings LLC, party to the Shareholders' Agreement, own an aggregate of approximately 25,559,846 shares of our Class A common stock, representing approximately 8.9%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9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183" w:lineRule="exact"/>
        <w:rPr>
          <w:sz w:val="20"/>
          <w:szCs w:val="20"/>
          <w:color w:val="auto"/>
        </w:rPr>
      </w:pPr>
    </w:p>
    <w:p>
      <w:pPr>
        <w:ind w:right="140" w:firstLine="2"/>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spacing w:after="0" w:line="13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raise capital, we may sell substantial amounts of Class A common stock or securities convertible into or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the completion of the Restructuring Transaction and the consummation of certain CoreCo equity issuances contemplated thereby, will result in dilution to existing holders of our Class A common stock of up to 96%. These holders may seek to sell their shares. Other stockholders may also seek to sell shares held by them following, or in anticipation of, the completion of the Restructuring Transaction. Sales of substantial amounts of our Class A common stock in the public market, or the perception that these sales could occur, coupled with the increase in the outstanding number of shares of Class A common stock, could cause the market price of our Class A common stock to decline.</w:t>
      </w:r>
    </w:p>
    <w:p>
      <w:pPr>
        <w:spacing w:after="0" w:line="184" w:lineRule="exact"/>
        <w:rPr>
          <w:sz w:val="20"/>
          <w:szCs w:val="20"/>
          <w:color w:val="auto"/>
        </w:rPr>
      </w:pPr>
    </w:p>
    <w:p>
      <w:pPr>
        <w:jc w:val="both"/>
        <w:ind w:right="60" w:firstLine="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18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our board of directors into three classes of directors, with each class serving staggered three-year terms;</w:t>
      </w:r>
    </w:p>
    <w:p>
      <w:pPr>
        <w:spacing w:after="0" w:line="225" w:lineRule="exact"/>
        <w:rPr>
          <w:rFonts w:ascii="Times New Roman" w:cs="Times New Roman" w:eastAsia="Times New Roman" w:hAnsi="Times New Roman"/>
          <w:sz w:val="18"/>
          <w:szCs w:val="18"/>
          <w:color w:val="auto"/>
        </w:rPr>
      </w:pPr>
    </w:p>
    <w:p>
      <w:pPr>
        <w:ind w:left="660" w:right="40" w:hanging="324"/>
        <w:spacing w:after="0" w:line="266" w:lineRule="auto"/>
        <w:tabs>
          <w:tab w:leader="none" w:pos="6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75" w:lineRule="exact"/>
        <w:rPr>
          <w:rFonts w:ascii="Times New Roman" w:cs="Times New Roman" w:eastAsia="Times New Roman" w:hAnsi="Times New Roman"/>
          <w:sz w:val="18"/>
          <w:szCs w:val="18"/>
          <w:color w:val="auto"/>
        </w:rPr>
      </w:pPr>
    </w:p>
    <w:p>
      <w:pPr>
        <w:jc w:val="both"/>
        <w:ind w:left="660" w:right="480" w:hanging="324"/>
        <w:spacing w:after="0" w:line="266" w:lineRule="auto"/>
        <w:tabs>
          <w:tab w:leader="none" w:pos="6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7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225" w:lineRule="exact"/>
        <w:rPr>
          <w:rFonts w:ascii="Times New Roman" w:cs="Times New Roman" w:eastAsia="Times New Roman" w:hAnsi="Times New Roman"/>
          <w:sz w:val="18"/>
          <w:szCs w:val="18"/>
          <w:color w:val="auto"/>
        </w:rPr>
      </w:pPr>
    </w:p>
    <w:p>
      <w:pPr>
        <w:ind w:left="660" w:right="580" w:hanging="324"/>
        <w:spacing w:after="0" w:line="282" w:lineRule="auto"/>
        <w:tabs>
          <w:tab w:leader="none" w:pos="6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provisions for stockholder proposals and nominations for elections to the board of directors to be acted upon at meetings of the stockholders;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0" w:hanging="324"/>
        <w:spacing w:after="0" w:line="282" w:lineRule="auto"/>
        <w:tabs>
          <w:tab w:leader="none" w:pos="6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board of directors is expressly authorized to adopt, or to alter or repeal certain provisions of our organizational documents to the extent permitted by law.</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84" w:lineRule="exact"/>
        <w:rPr>
          <w:sz w:val="20"/>
          <w:szCs w:val="20"/>
          <w:color w:val="auto"/>
        </w:rPr>
      </w:pPr>
    </w:p>
    <w:p>
      <w:pPr>
        <w:jc w:val="both"/>
        <w:ind w:right="300" w:firstLine="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86" w:lineRule="exact"/>
        <w:rPr>
          <w:sz w:val="20"/>
          <w:szCs w:val="20"/>
          <w:color w:val="auto"/>
        </w:rPr>
      </w:pPr>
    </w:p>
    <w:p>
      <w:pPr>
        <w:ind w:right="80" w:firstLine="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declaration and payment of dividends to holders of our Class A common stock is at the discretion of our board of directors and we do not expect to pay dividends for the foreseeable future.</w:t>
      </w:r>
    </w:p>
    <w:p>
      <w:pPr>
        <w:spacing w:after="0" w:line="15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85" w:lineRule="exact"/>
        <w:rPr>
          <w:sz w:val="20"/>
          <w:szCs w:val="20"/>
          <w:color w:val="auto"/>
        </w:rPr>
      </w:pPr>
    </w:p>
    <w:p>
      <w:pPr>
        <w:ind w:right="240" w:firstLine="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incurred and may in the future incur or issue debt or issue equity or equity-related securities to finance our operations, acquisitions or investments.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or exchangeable securities (including limited partnership interests in our operating partnership), warrants or options, will dilute the holdings of our existing Class A common stockholders and such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additional debt or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or issuances of our Class A common stock could adversely affect the market price of our Class A common stock.</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Class A common stock in the public market, or the perception that such sales might occur, including in connection with the proposed equity issuances in the Restructuring Transaction,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76" w:lineRule="exact"/>
        <w:rPr>
          <w:sz w:val="20"/>
          <w:szCs w:val="20"/>
          <w:color w:val="auto"/>
        </w:rPr>
      </w:pPr>
    </w:p>
    <w:p>
      <w:pPr>
        <w:ind w:right="340" w:firstLine="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the listing of our common stock on the Nasdaq stock market or another national securities exchange.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Although our common stock is listed on Nasdaq, we must meet certain financial and liquidity criteria to maintain such listing. As previously disclosed, on May 1, 2026, we received written notice (the “Notice”) from the Listing Qualifications Department of Nasdaq notifying us that, based on the closing bid price of our Class A common stock for the last 30 consecutive trading days, we no longer comply with the requirement to maintain a minimum bid price of $1.00 per share for a period of 30 consecutive trading days for continued listing on Nasdaq, as set forth in Nasdaq Listing Rule 5450(a)(1) and Nasdaq Listing Rule 5810(c)(3)(A) (the "Minimum Bid Price Requirement"). The Notice has no immediate effect on the continued listing status of our Class A common stock on Nasdaq.</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Nasdaq Listing Rules, we have been provided an initial compliance period of 180 calendar days to regain compliance with the Minimum Bid Price Requirement. To regain compliance, the closing bid price of our Class A common stock must be at least $1.00 per share for a minimum of 10 consecutive trading days prior to October 28, 2026, and we must otherwise satisfy Nasdaq’s requirements for continued listing. If we do not regain compliance within the compliance period(s), including any extensions that may be granted by Nasdaq, our Class A common stock will be subject to delisting. Our Class A common stock may also be suspended or delisted if we violate Nasdaq’s listing requirements, or if we fail to meet other Nasdaq’s listing standards, or if our board of directors determines that the cost of maintaining our listing on a national securities exchange outweighs the benefits of such listing.</w:t>
      </w:r>
    </w:p>
    <w:p>
      <w:pPr>
        <w:spacing w:after="0" w:line="18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we are taking definitive steps to regain compliance with the applicable rules, including seeking stockholder approval for the implementation of a reverse stock split, there can be no assurance that we will be successful in our effort to regain compliance with the Nasdaq listing rules. A delisting of our common stock from Nasdaq may materially impair our shareholders’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Transaction, we will be issuing a significant number of new securities, including CoreCo Convertible Preferred Stock and additional shares of common stock, and will be effecting a corporate separation and other material changes to our capital structure. The consummation of the Restructuring Transaction is conditioned upon, among other things, stockholder approval of amendments to our Certificate of Incorporation to increase the number of authorized shares of common stock and to authorize a reverse stock split, as well as approval for the potential issuance of Class A common stock exceeding 20% of the current outstanding shares to comply with Nasdaq rules. If we are unable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obtain the necessary stockholder approvals or fail to comply with Nasdaq’s continued listing requirements as a result of the Restructuring Transaction, including requirements related to minimum market capitalization, public float, or other corporate governance standards, our common stock could be subject to delisting.</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Furthermore, the significant dilution of existing holders of our Class A common stock and the potential for further dilution upon conversion of preferred equity or in connection with future incentive plans may adversely affect the market price and trading volume of our Class A common stock, increasing the risk that we may not satisfy Nasdaq’s listing standards. If our common stock is delisted as a result of the Restructuring Transaction or any related factors, it could materially and adversely affect the liquidity, market price, and value of your investment, and could significantly impair our ability to access the capital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right="460" w:firstLine="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88" w:lineRule="exact"/>
        <w:rPr>
          <w:sz w:val="20"/>
          <w:szCs w:val="20"/>
          <w:color w:val="auto"/>
        </w:rPr>
      </w:pPr>
    </w:p>
    <w:p>
      <w:pPr>
        <w:ind w:right="280" w:firstLine="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continue to engage in mergers, sales and acquisitions, divestments, reorganizations or similar transactions related to our businesses or assets and we may fail to successfully complete such transaction or to realize the expected value.</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furtherance of our business strategy, we have in the past and may continue to engage in mergers, purchases or sales, divestments, reorganizations or other similar transactions related to our businesses or assets in the future. Any such transactions have and may be subject to significant risks and contingencies, including the risk of integration, valuation and successful implementation, and we may not be able to realize the benefits of any such transactions. We have in the past and may continue to also engage in sales of our assets or sale and leaseback transactions that seek to monetize our assets and there is no guarantee that such sales of assets have or will be executed at the prices we desire or higher than the values we have or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20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disposition of our Jamaica business is expected to have a material adverse effect on our consolidated results of operations and consolidated financial condition and we may not be able to realize some or all of the anticipated benefits from the transaction. Failure to replace the earnings from our Jamaica business could have a material adverse effect on our business, liquidity, consolidated results of operations and consolidated financial condition.</w:t>
      </w:r>
    </w:p>
    <w:p>
      <w:pPr>
        <w:spacing w:after="0" w:line="19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May 14, 2025, we completed the sale of our Jamaica Business. After the repayment of all outstanding South Power Bonds in the amount of approximately $227.2 million and payment of certain transaction costs, we received net cash proceeds of approximately $678.5 million, with an additional $98.6 million of proceeds held in escrow and to be returned to the Company based on the terms of the sale agreement. During the fourth quarter of 2025, the Company and EELP agreed on a final closing statement and final purchase price for the sale of our Jamaica Business of approximately $1.03 billion, resulting in a $28.7 million payment due to EELP, which was paid using certain proceeds released from the escrow accounts. As of December 31, 2025, we had proceeds held in escrow of $41.0 million relating to certain indemnification matters, which are expected to resolve within the next 12 months. The remaining proceeds held in escrow of $17.0 million relating to indemnifications for certain tax related matters are expected to be released to us prior to the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fiscal year ending December 31, 2029. We expect to benefit from the remaining net proceeds realized from such sale, including through repaying a portion of our corporate debt and reinvestment in our business. However, our consolidated results of operations and consolidated financial condition has been and is expected to be materially adversely affected by the disposition of this revenue generating asset. The loss of earnings from our Jamaica Business may diminish our ability to service our indebtedness and repay our indebtedness at maturity.</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Furthermore, there can be no assurances that we will be able to realize the anticipated benefits from the transaction, including benefits related to a reduction in our corporate debt and our ability to reinvest the proceeds profitably.</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expect revenue streams from our projects in Nicaragua and Puerto Rico, as well as in Brazil (subject to the separation of the Brazil business contemplated by the RSA), which we continue to develop as previously disclosed, to help offset the loss of revenue from our Jamaica Business, but there is no guarantee that we can successfully commence operations on our currently anticipated timelines or at all or that once operations commence such operations will be profitable. In the future, our capital expenses and operational expenses may increase due to expected increased sales, operational costs, and general and administrative costs and, therefore, our operating losses may continue or even increase after completion of these projects. If these projects do not successfully replace the revenues lost due to the disposition of our Jamaica Business, our business, liquidity, consolidated results of operations and consolidated financial condition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tax laws in any country in which we operate could adversely affect us.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 involved in legal proceedings and may experience unfavorable outcomes.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We are currently subject to a putative securities class action complaint relating to a drop in our share price and could become involved in additional litigation of this type in the future if our share price is volatile for any reason. For additional detail, see Item 1. Legal Proceedings.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84" w:lineRule="exact"/>
        <w:rPr>
          <w:sz w:val="20"/>
          <w:szCs w:val="20"/>
          <w:color w:val="auto"/>
        </w:rPr>
      </w:pPr>
    </w:p>
    <w:p>
      <w:pPr>
        <w:jc w:val="both"/>
        <w:ind w:right="100" w:firstLine="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7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operating results would be harmed. We have previously identified material weaknesses in our internal control over financial reporting, and we have restated certain of our previously issued financial statements. There can be no assurance that additional material weaknesses will not be identified in the future or that we will not be required to restate our financial statements for other periods.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result in additional material weaknesses,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59"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3" w:lineRule="exact"/>
        <w:rPr>
          <w:sz w:val="20"/>
          <w:szCs w:val="20"/>
          <w:color w:val="auto"/>
        </w:rPr>
      </w:pPr>
    </w:p>
    <w:p>
      <w:pPr>
        <w:ind w:left="900" w:hanging="244"/>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ind w:right="340" w:firstLine="324"/>
        <w:spacing w:after="0" w:line="250" w:lineRule="auto"/>
        <w:rPr>
          <w:sz w:val="20"/>
          <w:szCs w:val="20"/>
          <w:color w:val="auto"/>
        </w:rPr>
      </w:pPr>
      <w:r>
        <w:rPr>
          <w:rFonts w:ascii="Times New Roman" w:cs="Times New Roman" w:eastAsia="Times New Roman" w:hAnsi="Times New Roman"/>
          <w:sz w:val="18"/>
          <w:szCs w:val="18"/>
          <w:color w:val="auto"/>
        </w:rPr>
        <w:t>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w:t>
      </w:r>
    </w:p>
    <w:p>
      <w:pPr>
        <w:spacing w:after="0" w:line="1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860" w:type="dxa"/>
            <w:vAlign w:val="bottom"/>
            <w:vMerge w:val="restart"/>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60" w:type="dxa"/>
            <w:vAlign w:val="bottom"/>
            <w:gridSpan w:val="3"/>
          </w:tcPr>
          <w:p>
            <w:pPr>
              <w:jc w:val="right"/>
              <w:ind w:right="710"/>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78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Certificate of Conversion of New Fortress Energy Inc. (incorporated by reference to Exhibit 99.2 to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August 4, 2020).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60" w:type="dxa"/>
            <w:vAlign w:val="bottom"/>
            <w:gridSpan w:val="3"/>
          </w:tcPr>
          <w:p>
            <w:pPr>
              <w:jc w:val="right"/>
              <w:ind w:right="710"/>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8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Certificate of Incorporation of New Fortress Energy Inc. (incorporated by reference to Exhibit 99.3 to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August 4,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290" w:right="4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0" w:right="4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Certificate of Elimination of 4.8% Series A Convertible Preferred Stock and 4.8% Series B Convertible</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Preferred Stock of New Fortress Energy Inc. (incorporated by reference to Exhibit 3.1 to the Registrant's</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filed with the SEC on March 25, 2026).</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60" w:type="dxa"/>
            <w:vAlign w:val="bottom"/>
            <w:gridSpan w:val="2"/>
          </w:tcPr>
          <w:p>
            <w:pPr>
              <w:ind w:left="20"/>
              <w:spacing w:after="0" w:line="189"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Bylaws of New Fortress Energy Inc. (incorporated by reference to Exhibit 99.4 to the Registrant’s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Report on Form 10-Q filed with the SEC on August 4, 2020).</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Description of the Registrant’s Securities Registered Pursuant to Section 12 of the Securities Exchange</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Act of 1934 (incorporated by reference to Exhibit 4.1 to the Registrant’s Annual Report on Form 10-K,</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filed with the SEC on March 1, 2022).</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Form of Director Restricted Share Unit Award Agreement (incorporated by reference to Exhibit 10.4 to</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Registrant’s Registration Statement on Form S-1/A, filed with the SEC on December 24, 2018).</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Restricted Share Unit Award Agreement under the Amended and Restated New Fortress Energy Inc. 2019</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Omnibus Incentive Plan (incorporated by reference to Exhibit 10.5 to the Registrant’s Quarterly Report on</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10-Q, filed with the Commission on November 8, 2022).</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Shareholders’ Agreement, dated February 4, 2019, by and among New Fortress Energy LLC, New</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Fortress Energy Holdings LLC, Wesley R. Edens and Randal A. Nardone (incorporated by reference to</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4.1 to the Registrant’s Current 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Administrative Services Agreement, dated February 4, 2019, by and between New Fortress Intermediate</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LLC and FIG LLC (incorporated by reference to Exhibit 10.3 to the Registrant’s Current Report on Form</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(Edens) (incorporated by reference to Exhibit 10.4 to the Registrant’s Current</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(Guinta) (incorporated by reference to Exhibit 10.5 to the Registrant’s Current</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(Catterall) (incorporated by reference to Exhibit 10.7 to the Registrant’s</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(Grain) (incorporated by reference to Exhibit 10.8 to the Registrant’s Current</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(Griffin) (incorporated by reference to Exhibit 10.9 to the Registrant’s Current</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(Sledge) (incorporated by reference to Exhibit 10.16 to the Registrant’s</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Report on Form 10-Q, filed with the SEC on June 30, 2025).</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(Nardone) (incorporated by reference to Exhibit 10.11 to the Registrant’s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(Wanner) (incorporated by reference to Exhibit 10.12 to the Registrant’s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filed with the SEC on February 5, 2019).</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5"/>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(Jay) (incorporated by reference to Exhibit 10.15 to the Registrant’s Quarterly</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10-Q, filed with the SEC on May 4, 2023).</w:t>
            </w:r>
          </w:p>
        </w:tc>
      </w:tr>
    </w:tbl>
    <w:p>
      <w:pPr>
        <w:spacing w:after="0" w:line="200" w:lineRule="exact"/>
        <w:rPr>
          <w:sz w:val="20"/>
          <w:szCs w:val="20"/>
          <w:color w:val="auto"/>
        </w:rPr>
      </w:pP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Indemnification Agreement, dated as of April 29, 2025, by and between New Fortress Energy LLC and</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Michael Lowe (incorporated by reference to Exhibit 10.15 to the Registrant’s Quarterly Report on Form</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10-Q, filed with the SEC on June 30, 2025).</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6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Letter Agreement, dated as of March 14, 2017, by and between NFE Management LLC and Christopher S.</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Guinta (incorporated by reference to Exhibit 10.17 to the Registrant’s Annual Report on Form 10-K, filed</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Indenture, dated April 12, 2021, by and among the Company, an issuer, the subsidiary guarantors from</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time to time party thereto, and U.S. Bank National Association, as trustee and as notes collateral agent</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(incorporated by reference to Exhibit 4.1 to the Registrant’s Current Report on Form 8-K, filed with the</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 on April 12, 2021).</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Pledge and Security Agreement, dated April 12, 2021, by and among the Company, the subsidiary</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guarantors, from time to time party thereto, and U.S. Bank National Association, as notes collateral agent</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(incorporated by reference to Exhibit 4.2 to the Registrant’s Current Report on Form 8-K, filed with the</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 on April 12, 2021).</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440" w:type="dxa"/>
            <w:vAlign w:val="bottom"/>
            <w:gridSpan w:val="2"/>
          </w:tcPr>
          <w:p>
            <w:pPr>
              <w:ind w:left="20"/>
              <w:spacing w:after="0" w:line="189" w:lineRule="exact"/>
              <w:rPr>
                <w:rFonts w:ascii="Times New Roman" w:cs="Times New Roman" w:eastAsia="Times New Roman" w:hAnsi="Times New Roman"/>
                <w:sz w:val="18"/>
                <w:szCs w:val="18"/>
                <w:color w:val="3051F2"/>
                <w:w w:val="98"/>
              </w:rPr>
            </w:pPr>
            <w:hyperlink r:id="rId151">
              <w:r>
                <w:rPr>
                  <w:rFonts w:ascii="Times New Roman" w:cs="Times New Roman" w:eastAsia="Times New Roman" w:hAnsi="Times New Roman"/>
                  <w:sz w:val="18"/>
                  <w:szCs w:val="18"/>
                  <w:color w:val="3051F2"/>
                  <w:w w:val="98"/>
                </w:rPr>
                <w:t>10.</w:t>
              </w:r>
            </w:hyperlink>
            <w:r>
              <w:rPr>
                <w:rFonts w:ascii="Times New Roman" w:cs="Times New Roman" w:eastAsia="Times New Roman" w:hAnsi="Times New Roman"/>
                <w:sz w:val="18"/>
                <w:szCs w:val="18"/>
                <w:u w:val="single" w:color="auto"/>
                <w:color w:val="3051F2"/>
                <w:w w:val="98"/>
              </w:rPr>
              <w:t>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First Supplemental Indenture, dated as of June 11, 2021, between Golar GP LLC (now known as NFE GP</w:t>
            </w:r>
          </w:p>
        </w:tc>
      </w:tr>
      <w:tr>
        <w:trPr>
          <w:trHeight w:val="156"/>
        </w:trPr>
        <w:tc>
          <w:tcPr>
            <w:tcW w:w="20" w:type="dxa"/>
            <w:vAlign w:val="bottom"/>
          </w:tcPr>
          <w:p>
            <w:pPr>
              <w:spacing w:after="0"/>
              <w:rPr>
                <w:sz w:val="13"/>
                <w:szCs w:val="13"/>
                <w:color w:val="auto"/>
              </w:rPr>
            </w:pPr>
          </w:p>
        </w:tc>
        <w:tc>
          <w:tcPr>
            <w:tcW w:w="42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interest to U.S. Bank National Association), as trustee (incorporated by reference to Exhibit 10.29 to the</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Second Supplemental Indenture, dated as of September 13, 2021, between NFE Mexico Power Holdings</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Limited and NFE Mexico Terminal Holdings Limited, as Guaranteeing Subsidiaries, and U.S. Bank Trust</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Company, National Association (as successor in interest to U.S. Bank National Association), as trustee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(incorporated by reference to Exhibit 10.30 to the Registrant’s Annual Report on Form 10-K, filed with</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Third Supplemental Indenture, dated as of November 24, 2021, between NFE International Shipping LLC,</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NFE Global Shipping LLC, NFE Grand Shipping LLC and NFE International Holdings Limited, as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Guaranteeing Subsidiaries, and U.S. Bank Trust Company, National Association (as successor in interest</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to U.S. Bank National Association), as trustee (incorporated by reference to Exhibit 10.31 to the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Fourth Supplemental Indenture, dated as of March 23, 2022, between NFE UK Holdings Limited, NFE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Global Holdings Limited and NFE Bermuda Holdings Limited, as Guaranteeing Subsidiaries, and U.S.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Bank Trust Company, National Association (as successor in interest to U.S. Bank National Association),</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as trustee (incorporated by reference to Exhibit 10.32 to the Registrant’s Annual Report on Form 10-K,</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filed with 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Fifth Supplemental Indenture, dated as of December 22, 2022, between NFE Andromeda Chartering LLC,</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as Guaranteeing Subsidiary, and U.S. Bank Trust Company, National Association (as successor in interest</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to U.S. Bank National Association), as trustee (incorporated by reference to Exhibit 10.33 to the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Sixth Supplemental Indenture, dated as of October 18, 2024, between NFE International Holdings 1</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Limited and NFE International Holdings 1 Limited (each a “Guaranteeing Subsidiary”) as Guaranteeing</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Subsidiaries and U.S. Bank Trust Company, National Association (as successor in interest to U.S. Bank</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National Association). (incorporated by reference to Exhibit 10.24 to the Registrant’s Annual Report on</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Seventh Supplemental Indenture, dated as of December 6, 2024, between the various Guaranteeing</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Subsidiaries party thereto and U.S. Bank Trust Company, National Association (as successor in interest to</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U.S. Bank National Association), as trustee. (incorporated by reference to Exhibit 10.25 to the Registrant’s</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Credit Agreement, dated as of April 15, 2021, by and among the Company, as the borrower, the guarantors</w:t>
      </w:r>
    </w:p>
    <w:p>
      <w:pPr>
        <w:spacing w:after="0" w:line="2" w:lineRule="exact"/>
        <w:rPr>
          <w:sz w:val="20"/>
          <w:szCs w:val="20"/>
          <w:color w:val="auto"/>
        </w:rPr>
      </w:pPr>
    </w:p>
    <w:p>
      <w:pPr>
        <w:ind w:left="1200" w:right="1339"/>
        <w:spacing w:after="0" w:line="220" w:lineRule="auto"/>
        <w:rPr>
          <w:sz w:val="20"/>
          <w:szCs w:val="20"/>
          <w:color w:val="auto"/>
        </w:rPr>
      </w:pPr>
      <w:r>
        <w:rPr>
          <w:rFonts w:ascii="Times New Roman" w:cs="Times New Roman" w:eastAsia="Times New Roman" w:hAnsi="Times New Roman"/>
          <w:sz w:val="17"/>
          <w:szCs w:val="17"/>
          <w:color w:val="auto"/>
        </w:rPr>
        <w:t>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1200" w:right="1299" w:hanging="1173"/>
        <w:spacing w:after="0" w:line="232" w:lineRule="auto"/>
        <w:tabs>
          <w:tab w:leader="none" w:pos="1180" w:val="left"/>
        </w:tabs>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6578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62"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Second Amendment to Credit Agreement, dated as of February 28, 2022 to the Credit Agreement, dated as</w:t>
      </w:r>
    </w:p>
    <w:p>
      <w:pPr>
        <w:spacing w:after="0" w:line="2" w:lineRule="exact"/>
        <w:rPr>
          <w:sz w:val="20"/>
          <w:szCs w:val="20"/>
          <w:color w:val="auto"/>
        </w:rPr>
      </w:pPr>
    </w:p>
    <w:p>
      <w:pPr>
        <w:ind w:left="1200" w:right="1359"/>
        <w:spacing w:after="0" w:line="220" w:lineRule="auto"/>
        <w:rPr>
          <w:sz w:val="20"/>
          <w:szCs w:val="20"/>
          <w:color w:val="auto"/>
        </w:rPr>
      </w:pPr>
      <w:r>
        <w:rPr>
          <w:rFonts w:ascii="Times New Roman" w:cs="Times New Roman" w:eastAsia="Times New Roman" w:hAnsi="Times New Roman"/>
          <w:sz w:val="17"/>
          <w:szCs w:val="17"/>
          <w:color w:val="auto"/>
        </w:rPr>
        <w:t>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Credit Agreement, dated as of May 4, 2022 to the Credit Agreement, dated as of</w:t>
      </w:r>
    </w:p>
    <w:p>
      <w:pPr>
        <w:spacing w:after="0" w:line="2" w:lineRule="exact"/>
        <w:rPr>
          <w:sz w:val="20"/>
          <w:szCs w:val="20"/>
          <w:color w:val="auto"/>
        </w:rPr>
      </w:pPr>
    </w:p>
    <w:p>
      <w:pPr>
        <w:ind w:left="1200" w:right="1359"/>
        <w:spacing w:after="0" w:line="220" w:lineRule="auto"/>
        <w:rPr>
          <w:sz w:val="20"/>
          <w:szCs w:val="20"/>
          <w:color w:val="auto"/>
        </w:rPr>
      </w:pPr>
      <w:r>
        <w:rPr>
          <w:rFonts w:ascii="Times New Roman" w:cs="Times New Roman" w:eastAsia="Times New Roman" w:hAnsi="Times New Roman"/>
          <w:sz w:val="17"/>
          <w:szCs w:val="17"/>
          <w:color w:val="auto"/>
        </w:rPr>
        <w:t>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Registrant’s Quarterly Report on Form 10-Q, filed with the SEC on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color w:val="0000FF"/>
        </w:rPr>
        <w:tab/>
        <w:t>Fourth Amendment to Credit Agreement, dated as of February 7, 2023 to the Credit Agreement, dated as</w:t>
      </w:r>
    </w:p>
    <w:p>
      <w:pPr>
        <w:spacing w:after="0" w:line="2" w:lineRule="exact"/>
        <w:rPr>
          <w:sz w:val="20"/>
          <w:szCs w:val="20"/>
          <w:color w:val="auto"/>
        </w:rPr>
      </w:pPr>
    </w:p>
    <w:p>
      <w:pPr>
        <w:jc w:val="both"/>
        <w:ind w:left="1200" w:right="1499"/>
        <w:spacing w:after="0" w:line="220" w:lineRule="auto"/>
        <w:rPr>
          <w:sz w:val="20"/>
          <w:szCs w:val="20"/>
          <w:color w:val="auto"/>
        </w:rPr>
      </w:pPr>
      <w:r>
        <w:rPr>
          <w:rFonts w:ascii="Times New Roman" w:cs="Times New Roman" w:eastAsia="Times New Roman" w:hAnsi="Times New Roman"/>
          <w:sz w:val="17"/>
          <w:szCs w:val="17"/>
          <w:color w:val="auto"/>
        </w:rPr>
        <w:t>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color w:val="0000FF"/>
        </w:rPr>
        <w:tab/>
        <w:t>Fifth Amendment to Credit Agreement, dated as of September 15, 2023 to the Credit Agreement, dated as</w:t>
      </w:r>
    </w:p>
    <w:p>
      <w:pPr>
        <w:spacing w:after="0" w:line="2" w:lineRule="exact"/>
        <w:rPr>
          <w:sz w:val="20"/>
          <w:szCs w:val="20"/>
          <w:color w:val="auto"/>
        </w:rPr>
      </w:pPr>
    </w:p>
    <w:p>
      <w:pPr>
        <w:jc w:val="both"/>
        <w:ind w:left="1200" w:right="1499"/>
        <w:spacing w:after="0" w:line="220" w:lineRule="auto"/>
        <w:rPr>
          <w:sz w:val="20"/>
          <w:szCs w:val="20"/>
          <w:color w:val="auto"/>
        </w:rPr>
      </w:pPr>
      <w:r>
        <w:rPr>
          <w:rFonts w:ascii="Times New Roman" w:cs="Times New Roman" w:eastAsia="Times New Roman" w:hAnsi="Times New Roman"/>
          <w:sz w:val="17"/>
          <w:szCs w:val="17"/>
          <w:color w:val="auto"/>
        </w:rPr>
        <w:t>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Quarterly Report on Form 10-Q, filed with the SEC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color w:val="0000FF"/>
        </w:rPr>
        <w:tab/>
        <w:t>Sixth Amendment to Credit Agreement, dated as of December 18, 2023 to the Credit Agreement, dated as</w:t>
      </w:r>
    </w:p>
    <w:p>
      <w:pPr>
        <w:spacing w:after="0" w:line="2" w:lineRule="exact"/>
        <w:rPr>
          <w:sz w:val="20"/>
          <w:szCs w:val="20"/>
          <w:color w:val="auto"/>
        </w:rPr>
      </w:pPr>
    </w:p>
    <w:p>
      <w:pPr>
        <w:jc w:val="both"/>
        <w:ind w:left="1200" w:right="1499"/>
        <w:spacing w:after="0" w:line="220" w:lineRule="auto"/>
        <w:rPr>
          <w:sz w:val="20"/>
          <w:szCs w:val="20"/>
          <w:color w:val="auto"/>
        </w:rPr>
      </w:pPr>
      <w:r>
        <w:rPr>
          <w:rFonts w:ascii="Times New Roman" w:cs="Times New Roman" w:eastAsia="Times New Roman" w:hAnsi="Times New Roman"/>
          <w:sz w:val="17"/>
          <w:szCs w:val="17"/>
          <w:color w:val="auto"/>
        </w:rPr>
        <w:t>of April 15, 2021, 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Annual Report on Form 10-K, filed with the SEC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Seventh Amendment to Credit Agreement, dated as of May 3, 2024 to the Credit Agreement, dated as of</w:t>
      </w:r>
    </w:p>
    <w:p>
      <w:pPr>
        <w:spacing w:after="0" w:line="2" w:lineRule="exact"/>
        <w:rPr>
          <w:sz w:val="20"/>
          <w:szCs w:val="20"/>
          <w:color w:val="auto"/>
        </w:rPr>
      </w:pPr>
    </w:p>
    <w:p>
      <w:pPr>
        <w:ind w:left="1200" w:right="1459"/>
        <w:spacing w:after="0" w:line="220" w:lineRule="auto"/>
        <w:rPr>
          <w:sz w:val="20"/>
          <w:szCs w:val="20"/>
          <w:color w:val="auto"/>
        </w:rPr>
      </w:pPr>
      <w:r>
        <w:rPr>
          <w:rFonts w:ascii="Times New Roman" w:cs="Times New Roman" w:eastAsia="Times New Roman" w:hAnsi="Times New Roman"/>
          <w:sz w:val="17"/>
          <w:szCs w:val="17"/>
          <w:color w:val="auto"/>
        </w:rPr>
        <w:t>April 15, 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Quarterly Report on Form 10-Q, filed with the SEC on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Eighth Amendment to Credit Agreement, dated as of September 30, 2024 to the</w:t>
      </w:r>
    </w:p>
    <w:p>
      <w:pPr>
        <w:spacing w:after="0" w:line="2" w:lineRule="exact"/>
        <w:rPr>
          <w:sz w:val="20"/>
          <w:szCs w:val="20"/>
          <w:color w:val="auto"/>
        </w:rPr>
      </w:pPr>
    </w:p>
    <w:p>
      <w:pPr>
        <w:ind w:left="1200" w:right="1259"/>
        <w:spacing w:after="0" w:line="220" w:lineRule="auto"/>
        <w:rPr>
          <w:sz w:val="20"/>
          <w:szCs w:val="20"/>
          <w:color w:val="auto"/>
        </w:rPr>
      </w:pPr>
      <w:r>
        <w:rPr>
          <w:rFonts w:ascii="Times New Roman" w:cs="Times New Roman" w:eastAsia="Times New Roman" w:hAnsi="Times New Roman"/>
          <w:sz w:val="17"/>
          <w:szCs w:val="17"/>
          <w:color w:val="auto"/>
        </w:rPr>
        <w:t>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10.42</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to the Registrant’s Quarterly Report on Form 10-Q, filed with the SEC on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tcPr>
          <w:p>
            <w:pPr>
              <w:ind w:lef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340" w:type="dxa"/>
            <w:vAlign w:val="bottom"/>
          </w:tcPr>
          <w:p>
            <w:pPr>
              <w:spacing w:after="0"/>
              <w:rPr>
                <w:sz w:val="17"/>
                <w:szCs w:val="17"/>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Ninth Amendment to Credit Agreement, dated as of November 6, 2024 to the Credit Agreement, dated as</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thereto, the several lenders and issuing banks from time to time party thereto, and MUFG Bank Ltd.,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administrative agent and collateral agent. (incorporated by reference to Exhibit 10.35 to the Registrant’s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Tenth Amendment to Credit Agreement, dated as of November 22, 2024 to the Credit agreement, dated as</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thereto, the several lenders and issuing banks from time to time party thereto, and MUFG Bank Ltd.,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administrative agent and collateral agent. (incorporated by reference to Exhibit 10.36 to the Registrant’s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Eleventh Amendment to Credit Agreement, dated as of January 31, 2025 to the Credit agreement, dated as</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thereto, the several lenders and issuing banks from time to time party thereto, and MUFG Bank Ltd.,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administrative agent and collateral agent. (incorporated by reference to Exhibit 10.39 to the Registrant’s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Report on Form 10-Q, filed with the SEC on June 30, 2025).</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60" w:type="dxa"/>
            <w:vAlign w:val="bottom"/>
            <w:shd w:val="clear" w:color="auto" w:fill="CCEEFF"/>
          </w:tcPr>
          <w:p>
            <w:pPr>
              <w:spacing w:after="0"/>
              <w:rPr>
                <w:sz w:val="22"/>
                <w:szCs w:val="22"/>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Amended and Restated Eleventh Amendment to Credit Agreement, dated as of March 3, 2025 to the</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Credit agreement, dated as of April 15, 2021, by and among the Company, as the borrower, the guarantors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from time to time party thereto, the several lenders and issuing banks from time to time party thereto,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MUFG Bank Ltd., as administrative agent and collateral agent.(incorporated by reference to Exhibit 10.40</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the Registrant’s Quarterly Report on Form 10-Q, filed with the SEC on June 30,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Twelfth Amendment to Credit Agreement, dated as of May 12, 2025 to the Credit Agreement, dated as of</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thereto, the several lenders and issuing banks from time to time party thereto, and MUFG Bank Ltd.,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administrative agent and collateral agent (incorporated by reference to Exhibit 10.37 to the Registrant’s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Report on Form 10-Q, filed with the SEC on September 5,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Thirteenth Amendment to Credit Agreement, dated as of November 20, 2025 to the Credit Agreement,</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dated as of April 15, 2021, by and among the Company, as the borrower, the guarantors from time to time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party thereto, the several lenders and issuing banks from time to time party thereto, and MUFG Bank Ltd.,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as administrative agent and collateral agent (incorporated by reference to Exhibit 10.39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Fourteenth Amendment to Credit Agreement, dated as of December 17, 2025 to the Credit Agreement,</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dated as of April 15, 2021, by and among the Company, as the borrower, the guarantors from time to time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party thereto, the several lenders and issuing banks from time to time party thereto, and MUFG Bank Ltd.,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as administrative agent and collateral agent (incorporated by reference to Exhibit 10.40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Conformed through the Fourteenth Amendment to Credit Agreement, dated as of December 17, 2025 to</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the Credit Agreement, dated as of April 15, 2021, by and among the Company, as the borrower, the</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and issuing banks from time to time party</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thereto, and MUFG Bank Ltd., as administrative agent and collateral agent (incorporated by reference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10.41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8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42*</w:t>
            </w: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Forbearance Agreement, dated as of January 20, 2026, by and among the Company, as the borrower, each</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of the guarantors party thereto, the lenders party thereto and MUFG Bank Ltd., as the administrative agent</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collateral agent under that certain Credit Agreement, dated April 15, 2021.</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43</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Equity Purchase and Contribution Agreement, dated as of July 2, 2022, by and among Golar LNG</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w w:val="99"/>
              </w:rPr>
              <w:t>Partners LP and Hygo Energy Transition Ltd., as Sellers, AP Neptune Holdings Ltd, as Purchaser, Floating</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Infrastructure Holdings LLC, as the Company, and Floating Infrastructure Intermediate LLC, as Holdco</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60" w:type="dxa"/>
            <w:vAlign w:val="bottom"/>
          </w:tcPr>
          <w:p>
            <w:pPr>
              <w:ind w:left="340"/>
              <w:spacing w:after="0" w:line="204" w:lineRule="exact"/>
              <w:rPr>
                <w:sz w:val="20"/>
                <w:szCs w:val="20"/>
                <w:color w:val="auto"/>
              </w:rPr>
            </w:pPr>
            <w:r>
              <w:rPr>
                <w:rFonts w:ascii="Times New Roman" w:cs="Times New Roman" w:eastAsia="Times New Roman" w:hAnsi="Times New Roman"/>
                <w:sz w:val="18"/>
                <w:szCs w:val="18"/>
                <w:color w:val="auto"/>
              </w:rPr>
              <w:t>Pledgor, and Floating Infrastructure Holdings finance LLC, as Borrower, and New Fortress Energy Inc.</w:t>
            </w:r>
          </w:p>
        </w:tc>
      </w:tr>
    </w:tbl>
    <w:p>
      <w:pPr>
        <w:ind w:left="1200" w:right="1339"/>
        <w:spacing w:after="0" w:line="226" w:lineRule="auto"/>
        <w:rPr>
          <w:sz w:val="20"/>
          <w:szCs w:val="20"/>
          <w:color w:val="auto"/>
        </w:rPr>
      </w:pPr>
      <w:r>
        <w:rPr>
          <w:rFonts w:ascii="Times New Roman" w:cs="Times New Roman" w:eastAsia="Times New Roman" w:hAnsi="Times New Roman"/>
          <w:sz w:val="18"/>
          <w:szCs w:val="18"/>
          <w:color w:val="auto"/>
        </w:rPr>
        <w:t>(incorporated by reference to Exhibit 10.39 to Registrant’s Quarterly Report on Form 10-Q, filed with the SEC on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6578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Uncommitted Letter of Credit and Reimbursement Agreement, dated as of July 16, 2021, by and among</w:t>
      </w:r>
    </w:p>
    <w:p>
      <w:pPr>
        <w:spacing w:after="0" w:line="2" w:lineRule="exact"/>
        <w:rPr>
          <w:sz w:val="20"/>
          <w:szCs w:val="20"/>
          <w:color w:val="auto"/>
        </w:rPr>
      </w:pPr>
    </w:p>
    <w:p>
      <w:pPr>
        <w:jc w:val="both"/>
        <w:ind w:left="1200" w:right="1239"/>
        <w:spacing w:after="0" w:line="231" w:lineRule="auto"/>
        <w:rPr>
          <w:sz w:val="20"/>
          <w:szCs w:val="20"/>
          <w:color w:val="auto"/>
        </w:rPr>
      </w:pPr>
      <w:r>
        <w:rPr>
          <w:rFonts w:ascii="Times New Roman" w:cs="Times New Roman" w:eastAsia="Times New Roman" w:hAnsi="Times New Roman"/>
          <w:sz w:val="17"/>
          <w:szCs w:val="17"/>
          <w:color w:val="auto"/>
        </w:rPr>
        <w:t>the Company, as borrower, each of the guarantors party thereto, the lenders and issuing banks party thereto and Natixis, New York Branch, as administrative agent and as collateral agent. (incorporated by reference to Exhibit 10.42 to Registrant’s Quarterly 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6578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Amendment to Uncommitted Letter of Credit and Reimbursement Agreement, dated as of July 27,</w:t>
      </w:r>
    </w:p>
    <w:p>
      <w:pPr>
        <w:spacing w:after="0" w:line="2" w:lineRule="exact"/>
        <w:rPr>
          <w:sz w:val="20"/>
          <w:szCs w:val="20"/>
          <w:color w:val="auto"/>
        </w:rPr>
      </w:pPr>
    </w:p>
    <w:p>
      <w:pPr>
        <w:ind w:left="1200" w:right="1299"/>
        <w:spacing w:after="0" w:line="220" w:lineRule="auto"/>
        <w:rPr>
          <w:sz w:val="20"/>
          <w:szCs w:val="20"/>
          <w:color w:val="auto"/>
        </w:rPr>
      </w:pPr>
      <w:r>
        <w:rPr>
          <w:rFonts w:ascii="Times New Roman" w:cs="Times New Roman" w:eastAsia="Times New Roman" w:hAnsi="Times New Roman"/>
          <w:sz w:val="17"/>
          <w:szCs w:val="17"/>
          <w:color w:val="auto"/>
        </w:rPr>
        <w:t>2022 to the Uncommitted Letter of Credit and Reimbursement Agreement, dated as of July 16, 2021, by and among the Company, as borrower, each of the guarantors party thereto, the lenders and issuing banks party thereto and Natixis, New York Branch, as administrative agent and as collateral agent. (incorporated</w:t>
      </w:r>
    </w:p>
    <w:p>
      <w:pPr>
        <w:spacing w:after="0" w:line="2" w:lineRule="exact"/>
        <w:rPr>
          <w:sz w:val="20"/>
          <w:szCs w:val="20"/>
          <w:color w:val="auto"/>
        </w:rPr>
      </w:pPr>
    </w:p>
    <w:p>
      <w:pPr>
        <w:ind w:left="1200" w:right="1379"/>
        <w:spacing w:after="0" w:line="226" w:lineRule="auto"/>
        <w:rPr>
          <w:sz w:val="20"/>
          <w:szCs w:val="20"/>
          <w:color w:val="auto"/>
        </w:rPr>
      </w:pPr>
      <w:r>
        <w:rPr>
          <w:rFonts w:ascii="Times New Roman" w:cs="Times New Roman" w:eastAsia="Times New Roman" w:hAnsi="Times New Roman"/>
          <w:sz w:val="18"/>
          <w:szCs w:val="18"/>
          <w:color w:val="auto"/>
        </w:rPr>
        <w:t>by reference to Exhibit 10.40 to Registrant’s Quarterly Report on Form 10-Q, filed with the SEC on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6578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5"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u w:val="single" w:color="auto"/>
            <w:color w:val="0000FF"/>
          </w:rPr>
          <w:t>10.46</w:t>
        </w:r>
      </w:hyperlink>
      <w:r>
        <w:rPr>
          <w:rFonts w:ascii="Times New Roman" w:cs="Times New Roman" w:eastAsia="Times New Roman" w:hAnsi="Times New Roman"/>
          <w:sz w:val="18"/>
          <w:szCs w:val="18"/>
          <w:color w:val="0000FF"/>
        </w:rPr>
        <w:tab/>
        <w:t>Incremental Joinder Agreement to Uncommitted Letter of Credit and Reimbursement Agreement, dated</w:t>
      </w:r>
    </w:p>
    <w:p>
      <w:pPr>
        <w:spacing w:after="0" w:line="2" w:lineRule="exact"/>
        <w:rPr>
          <w:sz w:val="20"/>
          <w:szCs w:val="20"/>
          <w:color w:val="auto"/>
        </w:rPr>
      </w:pPr>
    </w:p>
    <w:p>
      <w:pPr>
        <w:ind w:left="1200" w:right="1479"/>
        <w:spacing w:after="0" w:line="208" w:lineRule="auto"/>
        <w:rPr>
          <w:sz w:val="20"/>
          <w:szCs w:val="20"/>
          <w:color w:val="auto"/>
        </w:rPr>
      </w:pPr>
      <w:r>
        <w:rPr>
          <w:rFonts w:ascii="Times New Roman" w:cs="Times New Roman" w:eastAsia="Times New Roman" w:hAnsi="Times New Roman"/>
          <w:sz w:val="18"/>
          <w:szCs w:val="18"/>
          <w:color w:val="auto"/>
        </w:rPr>
        <w:t>February 6, 2023, by and among the Company, as the borrower each of the guarantors party thereto, the lenders and issuing banks party thereto and Natixis, New York Branch, as administrative agent (incorporated by reference to Exhibit 10.45 to the Registrant’s Annual Report on Form 10-K,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u w:val="single" w:color="auto"/>
            <w:color w:val="0000FF"/>
          </w:rPr>
          <w:t>10.47</w:t>
        </w:r>
      </w:hyperlink>
      <w:r>
        <w:rPr>
          <w:rFonts w:ascii="Times New Roman" w:cs="Times New Roman" w:eastAsia="Times New Roman" w:hAnsi="Times New Roman"/>
          <w:sz w:val="18"/>
          <w:szCs w:val="18"/>
          <w:color w:val="0000FF"/>
        </w:rPr>
        <w:tab/>
        <w:t>Incremental Joinder Agreement to Uncommitted Letter of Credit and Reimbursement Agreement, dated</w:t>
      </w:r>
    </w:p>
    <w:p>
      <w:pPr>
        <w:spacing w:after="0" w:line="2" w:lineRule="exact"/>
        <w:rPr>
          <w:sz w:val="20"/>
          <w:szCs w:val="20"/>
          <w:color w:val="auto"/>
        </w:rPr>
      </w:pPr>
    </w:p>
    <w:p>
      <w:pPr>
        <w:ind w:left="1200" w:right="1499"/>
        <w:spacing w:after="0" w:line="220" w:lineRule="auto"/>
        <w:rPr>
          <w:sz w:val="20"/>
          <w:szCs w:val="20"/>
          <w:color w:val="auto"/>
        </w:rPr>
      </w:pPr>
      <w:r>
        <w:rPr>
          <w:rFonts w:ascii="Times New Roman" w:cs="Times New Roman" w:eastAsia="Times New Roman" w:hAnsi="Times New Roman"/>
          <w:sz w:val="17"/>
          <w:szCs w:val="17"/>
          <w:color w:val="auto"/>
        </w:rPr>
        <w:t>November 2, 2023, by and among the Company, as borrower, each of the guarantors party thereto, the lenders and issuing bank party thereto and Natixis, New York Branch, as administrative agent (incorporated by reference to Exhibit 10.44 to the Registrant’s Annual Report on Form 10-K,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5657850" cy="196850"/>
                    </a:xfrm>
                    <a:prstGeom prst="rect">
                      <a:avLst/>
                    </a:prstGeom>
                    <a:noFill/>
                  </pic:spPr>
                </pic:pic>
              </a:graphicData>
            </a:graphic>
          </wp:anchor>
        </w:drawing>
      </w:r>
    </w:p>
    <w:p>
      <w:pPr>
        <w:spacing w:after="0" w:line="29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u w:val="single" w:color="auto"/>
            <w:color w:val="0000FF"/>
          </w:rPr>
          <w:t>10.48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Uncommitted Letter of Credit and Reimbursement Agreement, dated May 17, 2024,</w:t>
      </w:r>
    </w:p>
    <w:p>
      <w:pPr>
        <w:spacing w:after="0" w:line="2" w:lineRule="exact"/>
        <w:rPr>
          <w:sz w:val="20"/>
          <w:szCs w:val="20"/>
          <w:color w:val="auto"/>
        </w:rPr>
      </w:pPr>
    </w:p>
    <w:p>
      <w:pPr>
        <w:ind w:left="1200" w:right="1259"/>
        <w:spacing w:after="0" w:line="220" w:lineRule="auto"/>
        <w:rPr>
          <w:sz w:val="20"/>
          <w:szCs w:val="20"/>
          <w:color w:val="auto"/>
        </w:rPr>
      </w:pPr>
      <w:r>
        <w:rPr>
          <w:rFonts w:ascii="Times New Roman" w:cs="Times New Roman" w:eastAsia="Times New Roman" w:hAnsi="Times New Roman"/>
          <w:sz w:val="17"/>
          <w:szCs w:val="17"/>
          <w:color w:val="auto"/>
        </w:rPr>
        <w:t>to the Uncommitted Letter of Credit and Reimbursement Agreement, dated as of July 16, 2021, by and among the Company, as borrower, each of the guarantors party thereto, the lenders and issuing banks party thereto and Natixis, New York Branch, as administrative agent and as collateral agent (incorporated by</w:t>
      </w:r>
    </w:p>
    <w:p>
      <w:pPr>
        <w:spacing w:after="0" w:line="2" w:lineRule="exact"/>
        <w:rPr>
          <w:sz w:val="20"/>
          <w:szCs w:val="20"/>
          <w:color w:val="auto"/>
        </w:rPr>
      </w:pPr>
    </w:p>
    <w:p>
      <w:pPr>
        <w:ind w:left="1200" w:right="1719"/>
        <w:spacing w:after="0" w:line="226" w:lineRule="auto"/>
        <w:rPr>
          <w:sz w:val="20"/>
          <w:szCs w:val="20"/>
          <w:color w:val="auto"/>
        </w:rPr>
      </w:pPr>
      <w:r>
        <w:rPr>
          <w:rFonts w:ascii="Times New Roman" w:cs="Times New Roman" w:eastAsia="Times New Roman" w:hAnsi="Times New Roman"/>
          <w:sz w:val="18"/>
          <w:szCs w:val="18"/>
          <w:color w:val="auto"/>
        </w:rPr>
        <w:t>reference to Exhibit 10.46 to the Registrant’s Quarterly Report on Form 10-Q, filed with the SEC on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6578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5"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u w:val="single" w:color="auto"/>
            <w:color w:val="0000FF"/>
          </w:rPr>
          <w:t>10.49</w:t>
        </w:r>
      </w:hyperlink>
      <w:r>
        <w:rPr>
          <w:rFonts w:ascii="Times New Roman" w:cs="Times New Roman" w:eastAsia="Times New Roman" w:hAnsi="Times New Roman"/>
          <w:sz w:val="18"/>
          <w:szCs w:val="18"/>
          <w:color w:val="0000FF"/>
        </w:rPr>
        <w:tab/>
        <w:t>Fourth Amendment to Uncommitted Letter of Credit and Reimbursement Agreement, dated September 30,</w:t>
      </w:r>
    </w:p>
    <w:p>
      <w:pPr>
        <w:spacing w:after="0" w:line="2" w:lineRule="exact"/>
        <w:rPr>
          <w:sz w:val="20"/>
          <w:szCs w:val="20"/>
          <w:color w:val="auto"/>
        </w:rPr>
      </w:pPr>
    </w:p>
    <w:p>
      <w:pPr>
        <w:ind w:left="1200" w:right="1399"/>
        <w:spacing w:after="0" w:line="220" w:lineRule="auto"/>
        <w:rPr>
          <w:sz w:val="20"/>
          <w:szCs w:val="20"/>
          <w:color w:val="auto"/>
        </w:rPr>
      </w:pPr>
      <w:r>
        <w:rPr>
          <w:rFonts w:ascii="Times New Roman" w:cs="Times New Roman" w:eastAsia="Times New Roman" w:hAnsi="Times New Roman"/>
          <w:sz w:val="17"/>
          <w:szCs w:val="17"/>
          <w:color w:val="auto"/>
        </w:rPr>
        <w:t>2024,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w:t>
      </w:r>
    </w:p>
    <w:p>
      <w:pPr>
        <w:spacing w:after="0" w:line="2" w:lineRule="exact"/>
        <w:rPr>
          <w:sz w:val="20"/>
          <w:szCs w:val="20"/>
          <w:color w:val="auto"/>
        </w:rPr>
      </w:pPr>
    </w:p>
    <w:p>
      <w:pPr>
        <w:ind w:left="1200" w:right="1539"/>
        <w:spacing w:after="0" w:line="226" w:lineRule="auto"/>
        <w:rPr>
          <w:sz w:val="20"/>
          <w:szCs w:val="20"/>
          <w:color w:val="auto"/>
        </w:rPr>
      </w:pPr>
      <w:r>
        <w:rPr>
          <w:rFonts w:ascii="Times New Roman" w:cs="Times New Roman" w:eastAsia="Times New Roman" w:hAnsi="Times New Roman"/>
          <w:sz w:val="18"/>
          <w:szCs w:val="18"/>
          <w:color w:val="auto"/>
        </w:rPr>
        <w:t>Exhibit 10.48 to the Registrant’s Quarterly Report on Form 10-Q, filed with the SEC on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6578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5"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u w:val="single" w:color="auto"/>
            <w:color w:val="0000FF"/>
          </w:rPr>
          <w:t>10.50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Fifth Amendment to Uncommitted Letter of Credit and Reimbursement Agreement, dated November 6,</w:t>
      </w:r>
    </w:p>
    <w:p>
      <w:pPr>
        <w:spacing w:after="0" w:line="2" w:lineRule="exact"/>
        <w:rPr>
          <w:sz w:val="20"/>
          <w:szCs w:val="20"/>
          <w:color w:val="auto"/>
        </w:rPr>
      </w:pPr>
    </w:p>
    <w:p>
      <w:pPr>
        <w:ind w:left="1200" w:right="1439"/>
        <w:spacing w:after="0" w:line="220" w:lineRule="auto"/>
        <w:rPr>
          <w:sz w:val="20"/>
          <w:szCs w:val="20"/>
          <w:color w:val="auto"/>
        </w:rPr>
      </w:pPr>
      <w:r>
        <w:rPr>
          <w:rFonts w:ascii="Times New Roman" w:cs="Times New Roman" w:eastAsia="Times New Roman" w:hAnsi="Times New Roman"/>
          <w:sz w:val="17"/>
          <w:szCs w:val="17"/>
          <w:color w:val="auto"/>
        </w:rPr>
        <w:t>2024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Exhibit 10.44 to the Registrant’s Annual Report on Form 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u w:val="single" w:color="auto"/>
            <w:color w:val="0000FF"/>
          </w:rPr>
          <w:t>10.51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Sixth Amendment to Uncommitted Letter of Credit and Reimbursement Agreement, dated November 22,</w:t>
      </w:r>
    </w:p>
    <w:p>
      <w:pPr>
        <w:spacing w:after="0" w:line="2" w:lineRule="exact"/>
        <w:rPr>
          <w:sz w:val="20"/>
          <w:szCs w:val="20"/>
          <w:color w:val="auto"/>
        </w:rPr>
      </w:pPr>
    </w:p>
    <w:p>
      <w:pPr>
        <w:ind w:left="1200" w:right="1439"/>
        <w:spacing w:after="0" w:line="220" w:lineRule="auto"/>
        <w:rPr>
          <w:sz w:val="20"/>
          <w:szCs w:val="20"/>
          <w:color w:val="auto"/>
        </w:rPr>
      </w:pPr>
      <w:r>
        <w:rPr>
          <w:rFonts w:ascii="Times New Roman" w:cs="Times New Roman" w:eastAsia="Times New Roman" w:hAnsi="Times New Roman"/>
          <w:sz w:val="17"/>
          <w:szCs w:val="17"/>
          <w:color w:val="auto"/>
        </w:rPr>
        <w:t>2024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Exhibit 10.45 to the Registrant’s Annual Report on Form 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10.52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Seventh Amendment to Uncommitted Letter of Credit and Reimbursement Agreement, dated January 31,</w:t>
      </w:r>
    </w:p>
    <w:p>
      <w:pPr>
        <w:spacing w:after="0" w:line="2" w:lineRule="exact"/>
        <w:rPr>
          <w:sz w:val="20"/>
          <w:szCs w:val="20"/>
          <w:color w:val="auto"/>
        </w:rPr>
      </w:pPr>
    </w:p>
    <w:p>
      <w:pPr>
        <w:ind w:left="1200" w:right="1439"/>
        <w:spacing w:after="0" w:line="220" w:lineRule="auto"/>
        <w:rPr>
          <w:sz w:val="20"/>
          <w:szCs w:val="20"/>
          <w:color w:val="auto"/>
        </w:rPr>
      </w:pPr>
      <w:r>
        <w:rPr>
          <w:rFonts w:ascii="Times New Roman" w:cs="Times New Roman" w:eastAsia="Times New Roman" w:hAnsi="Times New Roman"/>
          <w:sz w:val="17"/>
          <w:szCs w:val="17"/>
          <w:color w:val="auto"/>
        </w:rPr>
        <w:t>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Exhibit 10.50 to the Registrant’s Quarterly 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u w:val="single" w:color="auto"/>
            <w:color w:val="0000FF"/>
          </w:rPr>
          <w:t>10.53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Seventh Amendment to Uncommitted Letter of Credit and Reimbursement</w:t>
      </w:r>
    </w:p>
    <w:p>
      <w:pPr>
        <w:spacing w:after="0" w:line="2" w:lineRule="exact"/>
        <w:rPr>
          <w:sz w:val="20"/>
          <w:szCs w:val="20"/>
          <w:color w:val="auto"/>
        </w:rPr>
      </w:pPr>
    </w:p>
    <w:p>
      <w:pPr>
        <w:ind w:left="1200" w:right="1299"/>
        <w:spacing w:after="0" w:line="220" w:lineRule="auto"/>
        <w:rPr>
          <w:sz w:val="20"/>
          <w:szCs w:val="20"/>
          <w:color w:val="auto"/>
        </w:rPr>
      </w:pPr>
      <w:r>
        <w:rPr>
          <w:rFonts w:ascii="Times New Roman" w:cs="Times New Roman" w:eastAsia="Times New Roman" w:hAnsi="Times New Roman"/>
          <w:sz w:val="17"/>
          <w:szCs w:val="17"/>
          <w:color w:val="auto"/>
        </w:rPr>
        <w:t>Agreement, dated March 3, 2025 to the Uncommitted Letter of Credit and Reimbursement Agreement, dated as of July 16, 2021, by and among the Company, the guarantors party thereto, the lenders and issuing banks party thereto and Natixis, New York Branch, as administrative agent and as collateral agent.</w:t>
      </w:r>
    </w:p>
    <w:p>
      <w:pPr>
        <w:spacing w:after="0" w:line="2" w:lineRule="exact"/>
        <w:rPr>
          <w:sz w:val="20"/>
          <w:szCs w:val="20"/>
          <w:color w:val="auto"/>
        </w:rPr>
      </w:pPr>
    </w:p>
    <w:p>
      <w:pPr>
        <w:ind w:left="1200" w:right="1339"/>
        <w:spacing w:after="0" w:line="226" w:lineRule="auto"/>
        <w:rPr>
          <w:sz w:val="20"/>
          <w:szCs w:val="20"/>
          <w:color w:val="auto"/>
        </w:rPr>
      </w:pPr>
      <w:r>
        <w:rPr>
          <w:rFonts w:ascii="Times New Roman" w:cs="Times New Roman" w:eastAsia="Times New Roman" w:hAnsi="Times New Roman"/>
          <w:sz w:val="18"/>
          <w:szCs w:val="18"/>
          <w:color w:val="auto"/>
        </w:rPr>
        <w:t>(incorporated by reference to Exhibit 10.51 to the Registrant’s Quarterly 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6578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5"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u w:val="single" w:color="auto"/>
            <w:color w:val="0000FF"/>
          </w:rPr>
          <w:t>10.54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Eighth Amendment to Uncommitted Letter of Credit and Reimbursement Agreement, dated May 12, 2025</w:t>
      </w:r>
    </w:p>
    <w:p>
      <w:pPr>
        <w:spacing w:after="0" w:line="2" w:lineRule="exact"/>
        <w:rPr>
          <w:sz w:val="20"/>
          <w:szCs w:val="20"/>
          <w:color w:val="auto"/>
        </w:rPr>
      </w:pPr>
    </w:p>
    <w:p>
      <w:pPr>
        <w:ind w:left="1200" w:right="1299"/>
        <w:spacing w:after="0" w:line="220" w:lineRule="auto"/>
        <w:rPr>
          <w:sz w:val="20"/>
          <w:szCs w:val="20"/>
          <w:color w:val="auto"/>
        </w:rPr>
      </w:pPr>
      <w:r>
        <w:rPr>
          <w:rFonts w:ascii="Times New Roman" w:cs="Times New Roman" w:eastAsia="Times New Roman" w:hAnsi="Times New Roman"/>
          <w:sz w:val="17"/>
          <w:szCs w:val="17"/>
          <w:color w:val="auto"/>
        </w:rPr>
        <w:t>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10.52 to the Registrant’s Quarterly Report on Form 10-Q, filed with the SEC on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u w:val="single" w:color="auto"/>
            <w:color w:val="0000FF"/>
          </w:rPr>
          <w:t>10.55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Deferral Agreement, dated as of July 2, 2025, by and among the Company, each of the Guarantors as of</w:t>
      </w:r>
    </w:p>
    <w:p>
      <w:pPr>
        <w:spacing w:after="0" w:line="2" w:lineRule="exact"/>
        <w:rPr>
          <w:sz w:val="20"/>
          <w:szCs w:val="20"/>
          <w:color w:val="auto"/>
        </w:rPr>
      </w:pPr>
    </w:p>
    <w:p>
      <w:pPr>
        <w:ind w:left="1200" w:right="1559"/>
        <w:spacing w:after="0" w:line="220" w:lineRule="auto"/>
        <w:rPr>
          <w:sz w:val="20"/>
          <w:szCs w:val="20"/>
          <w:color w:val="auto"/>
        </w:rPr>
      </w:pPr>
      <w:r>
        <w:rPr>
          <w:rFonts w:ascii="Times New Roman" w:cs="Times New Roman" w:eastAsia="Times New Roman" w:hAnsi="Times New Roman"/>
          <w:sz w:val="17"/>
          <w:szCs w:val="17"/>
          <w:color w:val="auto"/>
        </w:rPr>
        <w:t>the date hereof, and certain financial institutions party to the Uncommitted Letter of Credit and Reimbursement Agreement, dated as of July 16, 2021 as lenders and signatory hereto (incorporated by reference to Exhibit 10.54 to the Registrant’s Quarterly Report on Form 10-Q, filed with the SEC on</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u w:val="single" w:color="auto"/>
            <w:color w:val="0000FF"/>
          </w:rPr>
          <w:t>10.56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Deferral Agreement, dated as of July 17, 2025, by and among the Company, each of the</w:t>
      </w:r>
    </w:p>
    <w:p>
      <w:pPr>
        <w:spacing w:after="0" w:line="2" w:lineRule="exact"/>
        <w:rPr>
          <w:sz w:val="20"/>
          <w:szCs w:val="20"/>
          <w:color w:val="auto"/>
        </w:rPr>
      </w:pPr>
    </w:p>
    <w:p>
      <w:pPr>
        <w:ind w:left="1200" w:right="1339"/>
        <w:spacing w:after="0" w:line="220" w:lineRule="auto"/>
        <w:rPr>
          <w:sz w:val="20"/>
          <w:szCs w:val="20"/>
          <w:color w:val="auto"/>
        </w:rPr>
      </w:pPr>
      <w:r>
        <w:rPr>
          <w:rFonts w:ascii="Times New Roman" w:cs="Times New Roman" w:eastAsia="Times New Roman" w:hAnsi="Times New Roman"/>
          <w:sz w:val="17"/>
          <w:szCs w:val="17"/>
          <w:color w:val="auto"/>
        </w:rPr>
        <w:t>Guarantors as of the date hereof, and certain financial institutions party to the Uncommitted Letter of Credit and Reimbursement Agreement, dated as of July 16, 2021 as lenders and signatory hereto (incorporated by reference to Exhibit 10.55 to the Registrant’s Quarterly Report on Form 10-Q,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u w:val="single" w:color="auto"/>
            <w:color w:val="0000FF"/>
          </w:rPr>
          <w:t>10.57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July Extension Agreement, dated as of July 24, 2025, by and among the Company, each of the Guarantors</w:t>
      </w:r>
    </w:p>
    <w:p>
      <w:pPr>
        <w:spacing w:after="0" w:line="2" w:lineRule="exact"/>
        <w:rPr>
          <w:sz w:val="20"/>
          <w:szCs w:val="20"/>
          <w:color w:val="auto"/>
        </w:rPr>
      </w:pPr>
    </w:p>
    <w:p>
      <w:pPr>
        <w:ind w:left="1200" w:right="1399"/>
        <w:spacing w:after="0" w:line="208" w:lineRule="auto"/>
        <w:rPr>
          <w:sz w:val="20"/>
          <w:szCs w:val="20"/>
          <w:color w:val="auto"/>
        </w:rPr>
      </w:pPr>
      <w:r>
        <w:rPr>
          <w:rFonts w:ascii="Times New Roman" w:cs="Times New Roman" w:eastAsia="Times New Roman" w:hAnsi="Times New Roman"/>
          <w:sz w:val="18"/>
          <w:szCs w:val="18"/>
          <w:color w:val="auto"/>
        </w:rPr>
        <w:t>as of the date hereof, and each of the financial institutions party to the Uncommitted Letter of Credit and Reimbursement Agreement, dated as of July 16, 2021 as lenders and issuing banks (incorporated by reference to Exhibit 10.56 to the Registrant’s Quarterly Report on Form 10-Q, filed with the SEC on</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10.58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Extension Agreement, dated as of July 31, 2025, by and among the Company, each of the</w:t>
      </w:r>
    </w:p>
    <w:p>
      <w:pPr>
        <w:spacing w:after="0" w:line="2" w:lineRule="exact"/>
        <w:rPr>
          <w:sz w:val="20"/>
          <w:szCs w:val="20"/>
          <w:color w:val="auto"/>
        </w:rPr>
      </w:pPr>
    </w:p>
    <w:p>
      <w:pPr>
        <w:ind w:left="1200" w:right="1339"/>
        <w:spacing w:after="0" w:line="220" w:lineRule="auto"/>
        <w:rPr>
          <w:sz w:val="20"/>
          <w:szCs w:val="20"/>
          <w:color w:val="auto"/>
        </w:rPr>
      </w:pPr>
      <w:r>
        <w:rPr>
          <w:rFonts w:ascii="Times New Roman" w:cs="Times New Roman" w:eastAsia="Times New Roman" w:hAnsi="Times New Roman"/>
          <w:sz w:val="17"/>
          <w:szCs w:val="17"/>
          <w:color w:val="auto"/>
        </w:rPr>
        <w:t>Guarantors as of the date hereof, and each of the financial institutions party to the Uncommitted Letter of Credit and Reimbursement Agreement, dated as of July 16, 2021 as lenders and issuing banks (incorporated by reference to Exhibit 10.57 to the Registrant’s Quarterly Report on Form 10-Q,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9">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10.59</w:t>
        </w:r>
      </w:hyperlink>
      <w:r>
        <w:rPr>
          <w:rFonts w:ascii="Times New Roman" w:cs="Times New Roman" w:eastAsia="Times New Roman" w:hAnsi="Times New Roman"/>
          <w:sz w:val="18"/>
          <w:szCs w:val="18"/>
          <w:color w:val="0000FF"/>
        </w:rPr>
        <w:tab/>
        <w:t>Ninth Amendment to Uncommitted Letter of Credit and Reimbursement Agreement, dated August 8, 2025</w:t>
      </w:r>
    </w:p>
    <w:p>
      <w:pPr>
        <w:spacing w:after="0" w:line="2" w:lineRule="exact"/>
        <w:rPr>
          <w:sz w:val="20"/>
          <w:szCs w:val="20"/>
          <w:color w:val="auto"/>
        </w:rPr>
      </w:pPr>
    </w:p>
    <w:p>
      <w:pPr>
        <w:ind w:left="1200" w:right="1299"/>
        <w:spacing w:after="0" w:line="220" w:lineRule="auto"/>
        <w:rPr>
          <w:sz w:val="20"/>
          <w:szCs w:val="20"/>
          <w:color w:val="auto"/>
        </w:rPr>
      </w:pPr>
      <w:r>
        <w:rPr>
          <w:rFonts w:ascii="Times New Roman" w:cs="Times New Roman" w:eastAsia="Times New Roman" w:hAnsi="Times New Roman"/>
          <w:sz w:val="17"/>
          <w:szCs w:val="17"/>
          <w:color w:val="auto"/>
        </w:rPr>
        <w:t>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10.58 to the Registrant’s Quarterly Report on 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10.60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Deferral Agreement, dated as of September 30, 2025, by and among the Company, each of the Guarantors</w:t>
      </w:r>
    </w:p>
    <w:p>
      <w:pPr>
        <w:spacing w:after="0" w:line="2" w:lineRule="exact"/>
        <w:rPr>
          <w:sz w:val="20"/>
          <w:szCs w:val="20"/>
          <w:color w:val="auto"/>
        </w:rPr>
      </w:pPr>
    </w:p>
    <w:p>
      <w:pPr>
        <w:ind w:left="1200" w:right="1259"/>
        <w:spacing w:after="0" w:line="220" w:lineRule="auto"/>
        <w:rPr>
          <w:sz w:val="20"/>
          <w:szCs w:val="20"/>
          <w:color w:val="auto"/>
        </w:rPr>
      </w:pPr>
      <w:r>
        <w:rPr>
          <w:rFonts w:ascii="Times New Roman" w:cs="Times New Roman" w:eastAsia="Times New Roman" w:hAnsi="Times New Roman"/>
          <w:sz w:val="17"/>
          <w:szCs w:val="17"/>
          <w:color w:val="auto"/>
        </w:rPr>
        <w:t>as of the date hereof, Natixis, New York Branch, as an issuing bank, and certain financial institutions party to the Uncommitted Letter of Credit and Reimbursement Agreement, dated as of July 16, 2021 as lenders and signatory hereto (incorporated by reference to Exhibit 10.59 to the Registrant’s Quarterly Report on</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u w:val="single" w:color="auto"/>
            <w:color w:val="0000FF"/>
          </w:rPr>
          <w:t>10.61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Tenth Amendment to Uncommitted Letter of Credit and Reimbursement Agreement, dated as of October</w:t>
      </w:r>
    </w:p>
    <w:p>
      <w:pPr>
        <w:spacing w:after="0" w:line="2" w:lineRule="exact"/>
        <w:rPr>
          <w:sz w:val="20"/>
          <w:szCs w:val="20"/>
          <w:color w:val="auto"/>
        </w:rPr>
      </w:pPr>
    </w:p>
    <w:p>
      <w:pPr>
        <w:ind w:left="1200" w:right="1259"/>
        <w:spacing w:after="0" w:line="220" w:lineRule="auto"/>
        <w:rPr>
          <w:sz w:val="20"/>
          <w:szCs w:val="20"/>
          <w:color w:val="auto"/>
        </w:rPr>
      </w:pPr>
      <w:r>
        <w:rPr>
          <w:rFonts w:ascii="Times New Roman" w:cs="Times New Roman" w:eastAsia="Times New Roman" w:hAnsi="Times New Roman"/>
          <w:sz w:val="17"/>
          <w:szCs w:val="17"/>
          <w:color w:val="auto"/>
        </w:rPr>
        <w:t>24, 2025 to the Uncommitted Letter of Credit and Reimbursement Agreement, dated as of July 16, 2021, by and among the Company, the guarantors party thereto, HSBC Bank USD, N.A., as an issuing bank, and each of the financial institutions party thereto as lenders (incorporated by reference to Exhibit 10.60 to the</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5">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tcPr>
          <w:p>
            <w:pPr>
              <w:ind w:left="20"/>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62</w:t>
              </w:r>
            </w:hyperlink>
          </w:p>
        </w:tc>
        <w:tc>
          <w:tcPr>
            <w:tcW w:w="340" w:type="dxa"/>
            <w:vAlign w:val="bottom"/>
          </w:tcPr>
          <w:p>
            <w:pPr>
              <w:spacing w:after="0"/>
              <w:rPr>
                <w:sz w:val="17"/>
                <w:szCs w:val="17"/>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Eleventh Amendment to Uncommitted Letter of Credit and Reimbursement Agreement, dated November</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14, 2025 to the Uncommitted Letter of Credit and Reimbursement Agreement, dated as of July 16, 2021,</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by and among the Company, the guarantors party thereto, the lenders and issuing banks party thereto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Natixis, New York Branch, as administrative agent and as collateral agent (incorporated by reference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10.61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63</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Twelfth Amendment to Uncommitted Letter of Credit and Reimbursement Agreement, dated December</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11, 2025 to the Uncommitted Letter of Credit and Reimbursement Agreement, dated as of July 16, 2021,</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by and among the Company, the guarantors party thereto, the lenders and issuing banks party thereto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Natixis, New York Branch, as administrative agent and as collateral agent (incorporated by reference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10.62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64</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Thirteenth Amendment to Uncommitted Letter of Credit and Reimbursement Agreement, dated December</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17, 2025 to the Uncommitted Letter of Credit and Reimbursement Agreement, dated as of July 16, 2021,</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by and among the Company, the guarantors party thereto, the lenders and issuing banks party thereto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Natixis, New York Branch, as administrative agent and as collateral agent (incorporated by reference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10.63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65</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Conformed through the Thirteenth Amendment Agreement, dated December 17, 2025, by and among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Company, the guarantors party thereto, the lenders and issuing banks party thereto and Natixis, New York</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Branch, as administrative agent and as collateral agent (incorporated by reference to Exhibit 10.64 to the</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8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66*</w:t>
            </w: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Fourteenth Amendment to Uncommitted Letter of Credit and Reimbursement Agreement, dated March 19,</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2026 to the Uncommitted Letter of Credit and Reimbursement Agreement, dated as of July 16, 2021, by</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among the Company, the guarantors party thereto, the lenders and issuing banks party thereto and</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Natixis, New York Branch, as administrative agent and as collateral agent.</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8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67*</w:t>
            </w: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Forbearance Agreement, dated as of March 27, 2026, by and among the Company, as the borrower,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lenders party thereto and Natixis, New York Branch, as administrative agent and collateral agent under</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that certain Uncommitted Letter of Credit and Reimbursement Agreement, dated July 16, 2021.</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68</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Credit Agreement, dated as of October 30, 2023, by and among the Company, as the borrower,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from time to time party thereto, and Morgan</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Stanley Senior Funding Inc., as administrative agent and collateral agent (incorporated by reference to</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10.45 to the Registrant’s Annual Report on Form 10-K, filed with the SEC on February 29, 2024).</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69</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Second Amendment, dated March 3, 2025, to Credit Agreement, dated as of October 30, 2023, by and</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among the Company, as the borrower, the guarantors from time to time party thereto, the several lenders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from time to time party thereto, and Morgan Stanley Senior Funding Inc., as administrative agent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collateral agent. (incorporated by reference to Exhibit 10.53 to the Registrant’s Quarterly Report on Form</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10-Q, filed with the SEC on June 30,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70</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Forbearance Agreement, dated December 17, 2025, by and among the Company, as the borrower,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guarantors, the lenders party hereto and Morgan Stanley Senior Funding Inc., as the administrative agent</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collateral agent under the Credit Agreement, dated as of October 30, 2023 (incorporated by reference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Exhibit 10.67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71</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Indenture, dated March 8, 2024, by and among New Fortress Energy Inc., the subsidiary guarantors from</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time to time party thereto, and U.S. Bank Trust Company, National Association, as trustee and as notes</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collateral agent (incorporated by reference to Exhibit 4.1 to the Registrant’s Current Report on Form 8-K,</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filed with the SEC on March 8, 2024).</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72</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First Supplemental Indenture, dated as of October 18, 2024, between NFE International Holdings 1</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Limited and NFE International Holdings 2 Limited, as Guaranteeing Subsidiaries, and U.S. Bank Trust</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Company, National Association, as trustee. (incorporated by reference to Exhibit 10.48 to the Registrant’s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10, 2025).</w:t>
            </w:r>
          </w:p>
        </w:tc>
      </w:tr>
    </w:tbl>
    <w:p>
      <w:pPr>
        <w:spacing w:after="0" w:line="200" w:lineRule="exact"/>
        <w:rPr>
          <w:sz w:val="20"/>
          <w:szCs w:val="20"/>
          <w:color w:val="auto"/>
        </w:rPr>
      </w:pP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56578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7">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u w:val="single" w:color="auto"/>
            <w:color w:val="0000FF"/>
          </w:rPr>
          <w:t>10.73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Supplemental Indenture, dated as of December 6, 2024, by and among the Company, as issuer, by</w:t>
      </w:r>
    </w:p>
    <w:p>
      <w:pPr>
        <w:spacing w:after="0" w:line="2" w:lineRule="exact"/>
        <w:rPr>
          <w:sz w:val="20"/>
          <w:szCs w:val="20"/>
          <w:color w:val="auto"/>
        </w:rPr>
      </w:pPr>
    </w:p>
    <w:p>
      <w:pPr>
        <w:ind w:left="1200" w:right="1319"/>
        <w:spacing w:after="0" w:line="218" w:lineRule="auto"/>
        <w:rPr>
          <w:sz w:val="20"/>
          <w:szCs w:val="20"/>
          <w:color w:val="auto"/>
        </w:rPr>
      </w:pPr>
      <w:r>
        <w:rPr>
          <w:rFonts w:ascii="Times New Roman" w:cs="Times New Roman" w:eastAsia="Times New Roman" w:hAnsi="Times New Roman"/>
          <w:sz w:val="18"/>
          <w:szCs w:val="18"/>
          <w:color w:val="auto"/>
        </w:rPr>
        <w:t>and among New Fortress Energy Inc., as issuer, the guarantors party thereto and U.S. Bank Trust Company, National Association, as trustee. (incorporated by reference to Exhibit 10.49 to the Registrant’s Annual Report on Form 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65785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9">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u w:val="single" w:color="auto"/>
            <w:color w:val="0000FF"/>
          </w:rPr>
          <w:t>10.74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Pledge and Security Agreement, dated March 8, 2024, by and among the Company, the subsidiary</w:t>
      </w:r>
    </w:p>
    <w:p>
      <w:pPr>
        <w:spacing w:after="0" w:line="2" w:lineRule="exact"/>
        <w:rPr>
          <w:sz w:val="20"/>
          <w:szCs w:val="20"/>
          <w:color w:val="auto"/>
        </w:rPr>
      </w:pPr>
    </w:p>
    <w:p>
      <w:pPr>
        <w:jc w:val="both"/>
        <w:ind w:left="1200" w:right="1299"/>
        <w:spacing w:after="0" w:line="218" w:lineRule="auto"/>
        <w:rPr>
          <w:sz w:val="20"/>
          <w:szCs w:val="20"/>
          <w:color w:val="auto"/>
        </w:rPr>
      </w:pPr>
      <w:r>
        <w:rPr>
          <w:rFonts w:ascii="Times New Roman" w:cs="Times New Roman" w:eastAsia="Times New Roman" w:hAnsi="Times New Roman"/>
          <w:sz w:val="18"/>
          <w:szCs w:val="18"/>
          <w:color w:val="auto"/>
        </w:rPr>
        <w:t>guarantors, from time to time party thereto, and U.S. Bank Trust Company, National Association, as notes collateral agent (incorporated by reference to Exhibit 4.2 to the Registrant’s Current Report on Form 8-K, filed with the SEC on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6578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u w:val="single" w:color="auto"/>
            <w:color w:val="0000FF"/>
          </w:rPr>
          <w:t>10.75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Credit Agreement, dated as of July 19, 2024, by and among the Company, as the borrower, the guarantors</w:t>
      </w:r>
    </w:p>
    <w:p>
      <w:pPr>
        <w:spacing w:after="0" w:line="2" w:lineRule="exact"/>
        <w:rPr>
          <w:sz w:val="20"/>
          <w:szCs w:val="20"/>
          <w:color w:val="auto"/>
        </w:rPr>
      </w:pPr>
    </w:p>
    <w:p>
      <w:pPr>
        <w:jc w:val="both"/>
        <w:ind w:left="1200" w:right="1479"/>
        <w:spacing w:after="0" w:line="231" w:lineRule="auto"/>
        <w:rPr>
          <w:sz w:val="20"/>
          <w:szCs w:val="20"/>
          <w:color w:val="auto"/>
        </w:rPr>
      </w:pPr>
      <w:r>
        <w:rPr>
          <w:rFonts w:ascii="Times New Roman" w:cs="Times New Roman" w:eastAsia="Times New Roman" w:hAnsi="Times New Roman"/>
          <w:sz w:val="17"/>
          <w:szCs w:val="17"/>
          <w:color w:val="auto"/>
        </w:rPr>
        <w:t>from time to time party thereto, the several lenders from time to time party thereto, and Morgan Stanley Senior Funding Inc., as administrative agent and collateral agent. (incorporated by reference to Exhibit 10.50 to the Registrant’s Quarterly Report on Form 10-Q, filed with the SEC on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65785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3">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u w:val="single" w:color="auto"/>
            <w:color w:val="0000FF"/>
          </w:rPr>
          <w:t>10.76</w:t>
        </w:r>
      </w:hyperlink>
      <w:r>
        <w:rPr>
          <w:rFonts w:ascii="Times New Roman" w:cs="Times New Roman" w:eastAsia="Times New Roman" w:hAnsi="Times New Roman"/>
          <w:sz w:val="18"/>
          <w:szCs w:val="18"/>
          <w:color w:val="0000FF"/>
        </w:rPr>
        <w:tab/>
        <w:t>Amended and Restated First Amendment to Credit Agreement, dated as of September 30, 2024, by and</w:t>
      </w:r>
    </w:p>
    <w:p>
      <w:pPr>
        <w:spacing w:after="0" w:line="2" w:lineRule="exact"/>
        <w:rPr>
          <w:sz w:val="20"/>
          <w:szCs w:val="20"/>
          <w:color w:val="auto"/>
        </w:rPr>
      </w:pPr>
    </w:p>
    <w:p>
      <w:pPr>
        <w:ind w:left="1200" w:right="1439"/>
        <w:spacing w:after="0" w:line="220" w:lineRule="auto"/>
        <w:rPr>
          <w:sz w:val="20"/>
          <w:szCs w:val="20"/>
          <w:color w:val="auto"/>
        </w:rPr>
      </w:pPr>
      <w:r>
        <w:rPr>
          <w:rFonts w:ascii="Times New Roman" w:cs="Times New Roman" w:eastAsia="Times New Roman" w:hAnsi="Times New Roman"/>
          <w:sz w:val="17"/>
          <w:szCs w:val="17"/>
          <w:color w:val="auto"/>
        </w:rPr>
        <w:t>among the Company, as the borrower, the guarantors from time to time party thereto, the several lenders from time to time party thereto, and Morgan Stanley Senior Funding Inc., as administrative agent and collateral agent. (incorporated by reference to Exhibit 10.52 to the Registrant’s Annual Report on Form</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5">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u w:val="single" w:color="auto"/>
            <w:color w:val="0000FF"/>
          </w:rPr>
          <w:t>10.77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Amendment to Credit Agreement, dated as of November 14, 2024, by and among the Company, as</w:t>
      </w:r>
    </w:p>
    <w:p>
      <w:pPr>
        <w:spacing w:after="0" w:line="2" w:lineRule="exact"/>
        <w:rPr>
          <w:sz w:val="20"/>
          <w:szCs w:val="20"/>
          <w:color w:val="auto"/>
        </w:rPr>
      </w:pPr>
    </w:p>
    <w:p>
      <w:pPr>
        <w:ind w:left="1200" w:right="1479"/>
        <w:spacing w:after="0" w:line="208" w:lineRule="auto"/>
        <w:rPr>
          <w:sz w:val="20"/>
          <w:szCs w:val="20"/>
          <w:color w:val="auto"/>
        </w:rPr>
      </w:pPr>
      <w:r>
        <w:rPr>
          <w:rFonts w:ascii="Times New Roman" w:cs="Times New Roman" w:eastAsia="Times New Roman" w:hAnsi="Times New Roman"/>
          <w:sz w:val="18"/>
          <w:szCs w:val="18"/>
          <w:color w:val="auto"/>
        </w:rPr>
        <w:t>the borrower, the guarantors from time to time party thereto, the several lenders from time to time party thereto, and Morgan Stanley Senior Funding Inc., as administrative agent and collateral agent. (incorporated by reference to Exhibit 10.53 to the Registrant’s Annual Report on Form 10-K,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7">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u w:val="single" w:color="auto"/>
            <w:color w:val="0000FF"/>
          </w:rPr>
          <w:t>10.78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Credit Agreement, dated as of November 22, 2024, by and among the Company, as</w:t>
      </w:r>
    </w:p>
    <w:p>
      <w:pPr>
        <w:spacing w:after="0" w:line="2" w:lineRule="exact"/>
        <w:rPr>
          <w:sz w:val="20"/>
          <w:szCs w:val="20"/>
          <w:color w:val="auto"/>
        </w:rPr>
      </w:pPr>
    </w:p>
    <w:p>
      <w:pPr>
        <w:ind w:left="1200" w:right="1479"/>
        <w:spacing w:after="0" w:line="208" w:lineRule="auto"/>
        <w:rPr>
          <w:sz w:val="20"/>
          <w:szCs w:val="20"/>
          <w:color w:val="auto"/>
        </w:rPr>
      </w:pPr>
      <w:r>
        <w:rPr>
          <w:rFonts w:ascii="Times New Roman" w:cs="Times New Roman" w:eastAsia="Times New Roman" w:hAnsi="Times New Roman"/>
          <w:sz w:val="18"/>
          <w:szCs w:val="18"/>
          <w:color w:val="auto"/>
        </w:rPr>
        <w:t>the borrower, the guarantors from time to time party thereto, the several lenders from time to time party thereto, and Morgan Stanley Senior Funding Inc., as administrative agent and collateral agent. (incorporated by reference to Exhibit 10.54 to the Registrant’s Annual Report on Form 10-K,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9">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u w:val="single" w:color="auto"/>
            <w:color w:val="0000FF"/>
          </w:rPr>
          <w:t>10.79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Fourth Amendment to Credit Agreement, dated as of March 3, 2025, by and among the Company, as the</w:t>
      </w:r>
    </w:p>
    <w:p>
      <w:pPr>
        <w:spacing w:after="0" w:line="2" w:lineRule="exact"/>
        <w:rPr>
          <w:sz w:val="20"/>
          <w:szCs w:val="20"/>
          <w:color w:val="auto"/>
        </w:rPr>
      </w:pPr>
    </w:p>
    <w:p>
      <w:pPr>
        <w:ind w:left="1200" w:right="1339"/>
        <w:spacing w:after="0" w:line="220" w:lineRule="auto"/>
        <w:rPr>
          <w:sz w:val="20"/>
          <w:szCs w:val="20"/>
          <w:color w:val="auto"/>
        </w:rPr>
      </w:pPr>
      <w:r>
        <w:rPr>
          <w:rFonts w:ascii="Times New Roman" w:cs="Times New Roman" w:eastAsia="Times New Roman" w:hAnsi="Times New Roman"/>
          <w:sz w:val="17"/>
          <w:szCs w:val="17"/>
          <w:color w:val="auto"/>
        </w:rPr>
        <w:t>borrower, the guarantors from time to time party thereto, the several lenders from time to time party thereto, and Morgan Stanley Senior Funding Inc., as administrative agent and collateral agent. (incorporated by reference to Exhibit 10.62 to the Registrant’s Quarterly Report on Form 10-Q,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1">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u w:val="single" w:color="auto"/>
            <w:color w:val="0000FF"/>
          </w:rPr>
          <w:t>10.80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Fifth Amendment to Credit Agreement, dated as of May 12, 2025, by and among the Company, as the</w:t>
      </w:r>
    </w:p>
    <w:p>
      <w:pPr>
        <w:spacing w:after="0" w:line="2" w:lineRule="exact"/>
        <w:rPr>
          <w:sz w:val="20"/>
          <w:szCs w:val="20"/>
          <w:color w:val="auto"/>
        </w:rPr>
      </w:pPr>
    </w:p>
    <w:p>
      <w:pPr>
        <w:ind w:left="1200" w:right="1339"/>
        <w:spacing w:after="0" w:line="220" w:lineRule="auto"/>
        <w:rPr>
          <w:sz w:val="20"/>
          <w:szCs w:val="20"/>
          <w:color w:val="auto"/>
        </w:rPr>
      </w:pPr>
      <w:r>
        <w:rPr>
          <w:rFonts w:ascii="Times New Roman" w:cs="Times New Roman" w:eastAsia="Times New Roman" w:hAnsi="Times New Roman"/>
          <w:sz w:val="17"/>
          <w:szCs w:val="17"/>
          <w:color w:val="auto"/>
        </w:rPr>
        <w:t>borrower, the guarantors from time to time party thereto, the several lenders from time to time party thereto, and Morgan Stanley Senior Funding Inc., as administrative agent and collateral agent (incorporated by reference to Exhibit 10.65 to the Registrant’s Quarterly Report on Form 10-Q,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3">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u w:val="single" w:color="auto"/>
            <w:color w:val="0000FF"/>
          </w:rPr>
          <w:t>10.81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Sixth Amendment to Credit Agreement, dated as of November 20, 2025, by and among the Company, as</w:t>
      </w:r>
    </w:p>
    <w:p>
      <w:pPr>
        <w:spacing w:after="0" w:line="2" w:lineRule="exact"/>
        <w:rPr>
          <w:sz w:val="20"/>
          <w:szCs w:val="20"/>
          <w:color w:val="auto"/>
        </w:rPr>
      </w:pPr>
    </w:p>
    <w:p>
      <w:pPr>
        <w:ind w:left="1200" w:right="1479"/>
        <w:spacing w:after="0" w:line="208" w:lineRule="auto"/>
        <w:rPr>
          <w:sz w:val="20"/>
          <w:szCs w:val="20"/>
          <w:color w:val="auto"/>
        </w:rPr>
      </w:pPr>
      <w:r>
        <w:rPr>
          <w:rFonts w:ascii="Times New Roman" w:cs="Times New Roman" w:eastAsia="Times New Roman" w:hAnsi="Times New Roman"/>
          <w:sz w:val="18"/>
          <w:szCs w:val="18"/>
          <w:color w:val="auto"/>
        </w:rPr>
        <w:t>the borrower, the guarantors from time to time party thereto, the several lenders from time to time party thereto, and Morgan Stanley Senior Funding Inc., as administrative agent and collateral agent (incorporated by reference to Exhibit 10.78 to the Registrant’s Annual Report on Form 10-K,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180" w:val="left"/>
        </w:tabs>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u w:val="single" w:color="auto"/>
            <w:color w:val="0000FF"/>
          </w:rPr>
          <w:t>10.82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Seventh Amendment to Credit Agreement, dated as of December 17, 2025, by and among the Company,</w:t>
      </w:r>
    </w:p>
    <w:p>
      <w:pPr>
        <w:spacing w:after="0" w:line="2" w:lineRule="exact"/>
        <w:rPr>
          <w:sz w:val="20"/>
          <w:szCs w:val="20"/>
          <w:color w:val="auto"/>
        </w:rPr>
      </w:pPr>
    </w:p>
    <w:p>
      <w:pPr>
        <w:ind w:left="1200" w:right="1299"/>
        <w:spacing w:after="0" w:line="208" w:lineRule="auto"/>
        <w:rPr>
          <w:sz w:val="20"/>
          <w:szCs w:val="20"/>
          <w:color w:val="auto"/>
        </w:rPr>
      </w:pPr>
      <w:r>
        <w:rPr>
          <w:rFonts w:ascii="Times New Roman" w:cs="Times New Roman" w:eastAsia="Times New Roman" w:hAnsi="Times New Roman"/>
          <w:sz w:val="18"/>
          <w:szCs w:val="18"/>
          <w:color w:val="auto"/>
        </w:rPr>
        <w:t>as the borrower, the guarantors from time to time party thereto, the several lenders from time to time party thereto, and Morgan Stanley Senior Funding Inc., as administrative agent and collateral agent (incorporated by reference to Exhibit 10.79 to the Registrant’s Annual Report on Form 10-K, filed with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65785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7">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tcPr>
          <w:p>
            <w:pPr>
              <w:ind w:left="20"/>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83</w:t>
              </w:r>
            </w:hyperlink>
          </w:p>
        </w:tc>
        <w:tc>
          <w:tcPr>
            <w:tcW w:w="340" w:type="dxa"/>
            <w:vAlign w:val="bottom"/>
          </w:tcPr>
          <w:p>
            <w:pPr>
              <w:spacing w:after="0"/>
              <w:rPr>
                <w:sz w:val="17"/>
                <w:szCs w:val="17"/>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Conformed through the Seventh Amendment to Credit Agreement, dated as of December 17, 2025, by and</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among the Company, as the borrower, the guarantors from time to time party thereto, the several lenders</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from time to time party thereto, and Morgan Stanley Senior Funding Inc., as administrative agent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collateral agent (incorporated by reference to Exhibit 10.80 to the Registrant’s Annual Report on Form 10-</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84</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Forbearance Agreement, dated December 17, 2025, by and among the Company, as the borrower, the</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guarantors, the lenders party hereto and Morgan Stanley Senior Funding Inc., as the administrative agent</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collateral agent under the Credit Agreement, dated as of July 19, 2024 (incorporated by reference to</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10.81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85</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Series I Credit Agreement, dated as of November 22, 2024, among the Company, as the borrower,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guarantors from time to time party thereto, the lenders from time to time party thereto and Wilmington</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Savings Fund Society, FSB, as administrative agent and collateral agent. (incorporated by reference to</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10.55 to the Registrant’s 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86</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Credit Agreement, dated as of November 22, 2024, among NFE Brazil Investments LLC, as the borrower,</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NFE Financing LLC, as lender, the lenders from time to time party thereto and Wilmington Savings Fund</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Society, FSB, as administrative agent and collateral agent. (incorporated by reference to Exhibit 10.56 to</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87</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Series II Credit Agreement, dated as of December 6, 2024, among the Company, as the borrower, the</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guarantors from time to time party thereto, the lenders from time to time party thereto and Wilmington</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Savings Fund Society, FSB, as administrative agent and collateral agent. (incorporated by reference to</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10.57 to the Registrant’s 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88</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Indenture, dated November 22, 2024, by and among NFE Financing LLC, as issuer, the guarantors from</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time to time party thereto, and Wilmington Savings Fund Society, FSB, as trustee. (incorporated by</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reference to Exhibit 10.63 to the Registrant’s Annual Report on Form 10-K, filed with the SEC on March</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89</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Registration Rights and Lock-up Agreement, dated as of December 6, 2024 by and among the Company</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and the undersigned investors. (incorporated by reference to Exhibit 10.64 to the Registrant’s Annual</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90</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First Amendment to Registration Rights and Lock-up Agreement, dated as of January 8, 2025, by and</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among the Company and the undersigned investors. (incorporated by reference to Exhibit 10.65 to the</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91</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Second Amendment to Registration Rights and Lock-up Agreement, dated as of February 4, 2025, by and</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among the Company and the undersigned investors. (incorporated by reference to Exhibit 10.66 to the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92</w:t>
              </w:r>
            </w:hyperlink>
          </w:p>
        </w:tc>
        <w:tc>
          <w:tcPr>
            <w:tcW w:w="340" w:type="dxa"/>
            <w:vAlign w:val="bottom"/>
          </w:tcPr>
          <w:p>
            <w:pPr>
              <w:spacing w:after="0"/>
              <w:rPr>
                <w:sz w:val="16"/>
                <w:szCs w:val="16"/>
                <w:color w:val="auto"/>
              </w:rPr>
            </w:pP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Forbearance and Waiver Agreement, dated as of November 17, 2025, by and among NFE Financing LLC,</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6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as the issuer, NFE Brazil Investments LLC, as the Brazil Parent, Bradford County Real Estate Partners</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LLC, as a guarantor under and as defined in the 2029 Senior Notes Indenture, the undersigned Holders of</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NFE Financing’s 12.000% Senior Secured Notes due 2029, acknowledged by Wilmington Savings Fund</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Society, in its capacity as Trustee and Notes Collateral Agent under the 2029 Senior Notes Indenture and</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its capacity as administrative agent and collateral agent under the Brazil Parent Intercompany Credit</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Agreement, the Series II Intercompany Credit Agreement, and the Series I Intercompany Credit</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Agreement, acknowledged and agreed by the Company (incorporated by reference to Exhibit 10.89 to the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r>
        <w:trPr>
          <w:trHeight w:val="189"/>
        </w:trPr>
        <w:tc>
          <w:tcPr>
            <w:tcW w:w="8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93*</w:t>
            </w:r>
          </w:p>
        </w:tc>
        <w:tc>
          <w:tcPr>
            <w:tcW w:w="80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Forbearance Agreement, dated as of March 17, 2026, by and among NFE Brazil Financing Limited, a</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private limited company incorporated under the laws of England and Wales, and the holders party thereto.</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gridSpan w:val="3"/>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94†</w:t>
              </w:r>
            </w:hyperlink>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New Fortress Energy Inc. Retention Agreement, dated as of [ ], 2025, is by and between New</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792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Fortress Energy Inc., a Delaware corporation, and [ ] (the “Grantee”). (incorporated by reference to</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Exhibit 10.85 to the Registrant’s Quarterly Report on Form 10-Q, filed with the SEC on November 21,</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920" w:type="dxa"/>
            <w:vAlign w:val="bottom"/>
            <w:shd w:val="clear" w:color="auto" w:fill="CCEEFF"/>
          </w:tcPr>
          <w:p>
            <w:pPr>
              <w:spacing w:after="0"/>
              <w:rPr>
                <w:sz w:val="23"/>
                <w:szCs w:val="23"/>
                <w:color w:val="auto"/>
              </w:rPr>
            </w:pPr>
          </w:p>
        </w:tc>
      </w:tr>
      <w:tr>
        <w:trPr>
          <w:trHeight w:val="189"/>
        </w:trPr>
        <w:tc>
          <w:tcPr>
            <w:tcW w:w="100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95#</w:t>
              </w:r>
            </w:hyperlink>
          </w:p>
        </w:tc>
        <w:tc>
          <w:tcPr>
            <w:tcW w:w="7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Restructuring Support Agreement, dated as of March 17, 2026, among the Company Parties (as defined</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792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therein), the Information Agent (as defined therein) and the Supporting Creditors. (incorporated by</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filed with the SEC on March 17,</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92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80" w:type="dxa"/>
            <w:vAlign w:val="bottom"/>
          </w:tcPr>
          <w:p>
            <w:pPr>
              <w:spacing w:after="0"/>
              <w:rPr>
                <w:sz w:val="16"/>
                <w:szCs w:val="16"/>
                <w:color w:val="auto"/>
              </w:rPr>
            </w:pPr>
          </w:p>
        </w:tc>
        <w:tc>
          <w:tcPr>
            <w:tcW w:w="7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Certification by Chief Executive Officer pursuant to Rules 13a-14(a) and 15d-14(a) of the Exchange Act,</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920" w:type="dxa"/>
            <w:vAlign w:val="bottom"/>
            <w:shd w:val="clear" w:color="auto" w:fill="CCEEFF"/>
          </w:tcPr>
          <w:p>
            <w:pPr>
              <w:spacing w:after="0"/>
              <w:rPr>
                <w:sz w:val="23"/>
                <w:szCs w:val="23"/>
                <w:color w:val="auto"/>
              </w:rPr>
            </w:pPr>
          </w:p>
        </w:tc>
      </w:tr>
      <w:tr>
        <w:trPr>
          <w:trHeight w:val="189"/>
        </w:trPr>
        <w:tc>
          <w:tcPr>
            <w:tcW w:w="5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80" w:type="dxa"/>
            <w:vAlign w:val="bottom"/>
          </w:tcPr>
          <w:p>
            <w:pPr>
              <w:spacing w:after="0"/>
              <w:rPr>
                <w:sz w:val="16"/>
                <w:szCs w:val="16"/>
                <w:color w:val="auto"/>
              </w:rPr>
            </w:pPr>
          </w:p>
        </w:tc>
        <w:tc>
          <w:tcPr>
            <w:tcW w:w="7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Certification by Chief Financial Officer pursuant to Rules 13a-14(a) and 15d-14(a) of the Exchange Act,</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920" w:type="dxa"/>
            <w:vAlign w:val="bottom"/>
            <w:shd w:val="clear" w:color="auto" w:fill="CCEEFF"/>
          </w:tcPr>
          <w:p>
            <w:pPr>
              <w:spacing w:after="0"/>
              <w:rPr>
                <w:sz w:val="23"/>
                <w:szCs w:val="23"/>
                <w:color w:val="auto"/>
              </w:rPr>
            </w:pPr>
          </w:p>
        </w:tc>
      </w:tr>
      <w:tr>
        <w:trPr>
          <w:trHeight w:val="189"/>
        </w:trPr>
        <w:tc>
          <w:tcPr>
            <w:tcW w:w="10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Certifications by Chief Executive Officer pursuant to Title 18 U.S.C. Section 1350, as adopted pursuant to</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920" w:type="dxa"/>
            <w:vAlign w:val="bottom"/>
            <w:shd w:val="clear" w:color="auto" w:fill="CCEEFF"/>
          </w:tcPr>
          <w:p>
            <w:pPr>
              <w:spacing w:after="0"/>
              <w:rPr>
                <w:sz w:val="23"/>
                <w:szCs w:val="23"/>
                <w:color w:val="auto"/>
              </w:rPr>
            </w:pPr>
          </w:p>
        </w:tc>
      </w:tr>
      <w:tr>
        <w:trPr>
          <w:trHeight w:val="189"/>
        </w:trPr>
        <w:tc>
          <w:tcPr>
            <w:tcW w:w="10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7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Certifications by Chief Financial Officer pursuant to Title 18 U.S.C. Section 1350, as adopted pursuant to</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920" w:type="dxa"/>
            <w:vAlign w:val="bottom"/>
            <w:shd w:val="clear" w:color="auto" w:fill="CCEEFF"/>
          </w:tcPr>
          <w:p>
            <w:pPr>
              <w:spacing w:after="0"/>
              <w:rPr>
                <w:sz w:val="23"/>
                <w:szCs w:val="23"/>
                <w:color w:val="auto"/>
              </w:rPr>
            </w:pPr>
          </w:p>
        </w:tc>
      </w:tr>
      <w:tr>
        <w:trPr>
          <w:trHeight w:val="234"/>
        </w:trPr>
        <w:tc>
          <w:tcPr>
            <w:tcW w:w="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95"/>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500"/>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500"/>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500"/>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99"/>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as an exhibit to this Quarterly Report.</w:t>
      </w:r>
    </w:p>
    <w:p>
      <w:pPr>
        <w:spacing w:after="0" w:line="27" w:lineRule="exact"/>
        <w:rPr>
          <w:sz w:val="20"/>
          <w:szCs w:val="20"/>
          <w:color w:val="auto"/>
        </w:rPr>
      </w:pPr>
    </w:p>
    <w:p>
      <w:pPr>
        <w:ind w:left="240" w:hanging="232"/>
        <w:spacing w:after="0"/>
        <w:tabs>
          <w:tab w:leader="none" w:pos="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as an exhibit to this Quarterly Report.</w:t>
      </w:r>
    </w:p>
    <w:p>
      <w:pPr>
        <w:spacing w:after="0" w:line="9" w:lineRule="exact"/>
        <w:rPr>
          <w:rFonts w:ascii="Times New Roman" w:cs="Times New Roman" w:eastAsia="Times New Roman" w:hAnsi="Times New Roman"/>
          <w:sz w:val="18"/>
          <w:szCs w:val="18"/>
          <w:color w:val="auto"/>
        </w:rPr>
      </w:pPr>
    </w:p>
    <w:p>
      <w:pPr>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Compensatory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the exhibit (indicated by asterisks) have been omitted in pursuant to Item 601 (b)(10)(iv) of Regulation S-K.</w:t>
      </w:r>
    </w:p>
    <w:p>
      <w:pPr>
        <w:sectPr>
          <w:pgSz w:w="11900" w:h="16838" w:orient="portrait"/>
          <w:cols w:equalWidth="0" w:num="1">
            <w:col w:w="10139"/>
          </w:cols>
          <w:pgMar w:left="32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Wesley R. Edens</w:t>
            </w:r>
          </w:p>
        </w:tc>
        <w:tc>
          <w:tcPr>
            <w:tcW w:w="0" w:type="dxa"/>
            <w:vAlign w:val="bottom"/>
          </w:tcPr>
          <w:p>
            <w:pPr>
              <w:spacing w:after="0"/>
              <w:rPr>
                <w:sz w:val="1"/>
                <w:szCs w:val="1"/>
                <w:color w:val="auto"/>
              </w:rPr>
            </w:pPr>
          </w:p>
        </w:tc>
      </w:tr>
      <w:tr>
        <w:trPr>
          <w:trHeight w:val="479"/>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0" w:type="dxa"/>
            <w:vAlign w:val="bottom"/>
          </w:tcPr>
          <w:p>
            <w:pPr>
              <w:spacing w:after="0"/>
              <w:rPr>
                <w:sz w:val="1"/>
                <w:szCs w:val="1"/>
                <w:color w:val="auto"/>
              </w:rPr>
            </w:pPr>
          </w:p>
        </w:tc>
      </w:tr>
      <w:tr>
        <w:trPr>
          <w:trHeight w:val="50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499"/>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9"/>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0" w:type="dxa"/>
            <w:vAlign w:val="bottom"/>
          </w:tcPr>
          <w:p>
            <w:pPr>
              <w:spacing w:after="0"/>
              <w:rPr>
                <w:sz w:val="1"/>
                <w:szCs w:val="1"/>
                <w:color w:val="auto"/>
              </w:rPr>
            </w:pPr>
          </w:p>
        </w:tc>
      </w:tr>
      <w:tr>
        <w:trPr>
          <w:trHeight w:val="50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99"/>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30"/>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 Lowe</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Lowe</w:t>
            </w:r>
          </w:p>
        </w:tc>
        <w:tc>
          <w:tcPr>
            <w:tcW w:w="0" w:type="dxa"/>
            <w:vAlign w:val="bottom"/>
          </w:tcPr>
          <w:p>
            <w:pPr>
              <w:spacing w:after="0"/>
              <w:rPr>
                <w:sz w:val="1"/>
                <w:szCs w:val="1"/>
                <w:color w:val="auto"/>
              </w:rPr>
            </w:pPr>
          </w:p>
        </w:tc>
      </w:tr>
      <w:tr>
        <w:trPr>
          <w:trHeight w:val="283"/>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500"/>
        </w:trPr>
        <w:tc>
          <w:tcPr>
            <w:tcW w:w="64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918"/>
        </w:trPr>
        <w:tc>
          <w:tcPr>
            <w:tcW w:w="64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106</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FORBEARANCE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FORBEARANCE AGREEMENT</w:t>
      </w:r>
      <w:r>
        <w:rPr>
          <w:rFonts w:ascii="Times New Roman" w:cs="Times New Roman" w:eastAsia="Times New Roman" w:hAnsi="Times New Roman"/>
          <w:sz w:val="22"/>
          <w:szCs w:val="22"/>
          <w:color w:val="auto"/>
        </w:rPr>
        <w:t>, dated as of January 20, 2026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New Fortress Energy Inc., a Delaware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of the undersigned guarantors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and together with the Borrower, the “</w:t>
      </w:r>
      <w:r>
        <w:rPr>
          <w:rFonts w:ascii="Times New Roman" w:cs="Times New Roman" w:eastAsia="Times New Roman" w:hAnsi="Times New Roman"/>
          <w:sz w:val="22"/>
          <w:szCs w:val="22"/>
          <w:u w:val="single" w:color="auto"/>
          <w:color w:val="auto"/>
        </w:rPr>
        <w:t>Obligors</w:t>
      </w:r>
      <w:r>
        <w:rPr>
          <w:rFonts w:ascii="Times New Roman" w:cs="Times New Roman" w:eastAsia="Times New Roman" w:hAnsi="Times New Roman"/>
          <w:sz w:val="22"/>
          <w:szCs w:val="22"/>
          <w:color w:val="auto"/>
        </w:rPr>
        <w:t>”), the lenders party hereto (the “</w:t>
      </w:r>
      <w:r>
        <w:rPr>
          <w:rFonts w:ascii="Times New Roman" w:cs="Times New Roman" w:eastAsia="Times New Roman" w:hAnsi="Times New Roman"/>
          <w:sz w:val="22"/>
          <w:szCs w:val="22"/>
          <w:u w:val="single" w:color="auto"/>
          <w:color w:val="auto"/>
        </w:rPr>
        <w:t>Forbearing Lenders</w:t>
      </w:r>
      <w:r>
        <w:rPr>
          <w:rFonts w:ascii="Times New Roman" w:cs="Times New Roman" w:eastAsia="Times New Roman" w:hAnsi="Times New Roman"/>
          <w:sz w:val="22"/>
          <w:szCs w:val="22"/>
          <w:color w:val="auto"/>
        </w:rPr>
        <w:t>”) and MUFG Bank Ltd., as administrative agent and collateral agent (in such capacities,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under the Credit Agreement (as defined below). All capitalized terms used but not otherwise defined herein shall have the meanings ascribed to them in the Credit Agreement.</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Guarantors, the Administrative Agent, and the Lenders (including the Forbearing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are parties to that certain Credit Agreement, dated as of April 15, 2021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November 28, 2025 and thereafter, certain interest payments under the Credit Agreement were and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to be paid (the “</w:t>
      </w:r>
      <w:r>
        <w:rPr>
          <w:rFonts w:ascii="Times New Roman" w:cs="Times New Roman" w:eastAsia="Times New Roman" w:hAnsi="Times New Roman"/>
          <w:sz w:val="22"/>
          <w:szCs w:val="22"/>
          <w:u w:val="single" w:color="auto"/>
          <w:color w:val="auto"/>
        </w:rPr>
        <w:t>Missed RCF Interest Payments</w:t>
      </w:r>
      <w:r>
        <w:rPr>
          <w:rFonts w:ascii="Times New Roman" w:cs="Times New Roman" w:eastAsia="Times New Roman" w:hAnsi="Times New Roman"/>
          <w:sz w:val="22"/>
          <w:szCs w:val="22"/>
          <w:color w:val="auto"/>
        </w:rPr>
        <w:t>”), and the Borrower has failed to make or may fail to make such Missed RCF Interest Payments;</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December 31, 2025, certain fees under the Credit Agreement were due to be paid to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(the “</w:t>
      </w:r>
      <w:r>
        <w:rPr>
          <w:rFonts w:ascii="Times New Roman" w:cs="Times New Roman" w:eastAsia="Times New Roman" w:hAnsi="Times New Roman"/>
          <w:sz w:val="22"/>
          <w:szCs w:val="22"/>
          <w:u w:val="single" w:color="auto"/>
          <w:color w:val="auto"/>
        </w:rPr>
        <w:t>Missed Agency and Unutilized Fee Payment</w:t>
      </w:r>
      <w:r>
        <w:rPr>
          <w:rFonts w:ascii="Times New Roman" w:cs="Times New Roman" w:eastAsia="Times New Roman" w:hAnsi="Times New Roman"/>
          <w:sz w:val="22"/>
          <w:szCs w:val="22"/>
          <w:color w:val="auto"/>
        </w:rPr>
        <w:t>”), and the Borrower has failed to make such Missed Agency and Unutilized Fee Payment;</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Sections 7.1(a)(1) and 2.8(a) of the Credit Agreement, the failure of the Borrower to make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Missed RCF Interest Payment and the Missed Agency and Unutilized Fee Payment, respectively, will be an Event of Default 30 Business Days after such payments become due (the “</w:t>
      </w:r>
      <w:r>
        <w:rPr>
          <w:rFonts w:ascii="Times New Roman" w:cs="Times New Roman" w:eastAsia="Times New Roman" w:hAnsi="Times New Roman"/>
          <w:sz w:val="22"/>
          <w:szCs w:val="22"/>
          <w:u w:val="single" w:color="auto"/>
          <w:color w:val="auto"/>
        </w:rPr>
        <w:t>Interest Payment Event of Default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Agency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Unutilized Fee Event of Default</w:t>
      </w:r>
      <w:r>
        <w:rPr>
          <w:rFonts w:ascii="Times New Roman" w:cs="Times New Roman" w:eastAsia="Times New Roman" w:hAnsi="Times New Roman"/>
          <w:sz w:val="22"/>
          <w:szCs w:val="22"/>
          <w:color w:val="auto"/>
        </w:rPr>
        <w:t>”, respectively, and collectively the “</w:t>
      </w:r>
      <w:r>
        <w:rPr>
          <w:rFonts w:ascii="Times New Roman" w:cs="Times New Roman" w:eastAsia="Times New Roman" w:hAnsi="Times New Roman"/>
          <w:sz w:val="22"/>
          <w:szCs w:val="22"/>
          <w:u w:val="single" w:color="auto"/>
          <w:color w:val="auto"/>
        </w:rPr>
        <w:t>Payment Events of Default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7.1(b) of the Credit Agreement, upon the occurrence of a Payment Events of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Required Lenders may instruct the Administrative Agent to, or the Administrative Agent may, with the consent of the Required Lenders, declare the Commitment of each Lender to make Loans and any obligation of each Issuing Bank to issue Letters of Credit to be terminated and declare all outstanding loans and other obligations immediately due and payable (an “</w:t>
      </w:r>
      <w:r>
        <w:rPr>
          <w:rFonts w:ascii="Times New Roman" w:cs="Times New Roman" w:eastAsia="Times New Roman" w:hAnsi="Times New Roman"/>
          <w:sz w:val="22"/>
          <w:szCs w:val="22"/>
          <w:u w:val="single" w:color="auto"/>
          <w:color w:val="auto"/>
        </w:rPr>
        <w:t>Acceleration Event</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terms and conditions contained herein, the Forbearing Lenders and the Administrative Agent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prepared to forbear from exercising and/or directing the Administrative Agent and/or the Collateral Agent to exercise, or otherwise taking action to require any other Lenders to exercise or to direct the Administrative Agent to exercise, all of their rights and remedies under the Credit Agreement with respect to the Payment Events of Default and other Loan Documents during the Forbearance Period (as defined below).</w:t>
      </w:r>
    </w:p>
    <w:p>
      <w:pPr>
        <w:spacing w:after="0" w:line="18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hereto agree as follows:</w:t>
      </w:r>
    </w:p>
    <w:p>
      <w:pPr>
        <w:sectPr>
          <w:pgSz w:w="11900" w:h="16838" w:orient="portrait"/>
          <w:cols w:equalWidth="0" w:num="1">
            <w:col w:w="11240"/>
          </w:cols>
          <w:pgMar w:left="320" w:top="120" w:right="339" w:bottom="1440" w:gutter="0" w:footer="0" w:header="0"/>
        </w:sectPr>
      </w:pPr>
    </w:p>
    <w:bookmarkStart w:id="113" w:name="page114"/>
    <w:bookmarkEnd w:id="113"/>
    <w:p>
      <w:pPr>
        <w:jc w:val="center"/>
        <w:spacing w:after="0"/>
        <w:tabs>
          <w:tab w:leader="none" w:pos="420" w:val="left"/>
        </w:tabs>
        <w:rPr>
          <w:sz w:val="20"/>
          <w:szCs w:val="20"/>
          <w:color w:val="auto"/>
        </w:rPr>
      </w:pPr>
      <w:r>
        <w:rPr>
          <w:rFonts w:ascii="Times New Roman" w:cs="Times New Roman" w:eastAsia="Times New Roman" w:hAnsi="Times New Roman"/>
          <w:sz w:val="22"/>
          <w:szCs w:val="22"/>
          <w:b w:val="1"/>
          <w:bCs w:val="1"/>
          <w:color w:val="010000"/>
        </w:rPr>
        <w:t>Section I.</w:t>
      </w:r>
      <w:r>
        <w:rPr>
          <w:sz w:val="20"/>
          <w:szCs w:val="20"/>
          <w:color w:val="auto"/>
        </w:rPr>
        <w:tab/>
      </w:r>
      <w:r>
        <w:rPr>
          <w:rFonts w:ascii="Times New Roman" w:cs="Times New Roman" w:eastAsia="Times New Roman" w:hAnsi="Times New Roman"/>
          <w:sz w:val="21"/>
          <w:szCs w:val="21"/>
          <w:b w:val="1"/>
          <w:bCs w:val="1"/>
          <w:color w:val="auto"/>
        </w:rPr>
        <w:t>FORBEARANCE</w:t>
      </w:r>
    </w:p>
    <w:p>
      <w:pPr>
        <w:spacing w:after="0" w:line="183"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Forbearance</w:t>
      </w:r>
      <w:r>
        <w:rPr>
          <w:rFonts w:ascii="Times New Roman" w:cs="Times New Roman" w:eastAsia="Times New Roman" w:hAnsi="Times New Roman"/>
          <w:sz w:val="22"/>
          <w:szCs w:val="22"/>
          <w:color w:val="auto"/>
        </w:rPr>
        <w:t>. During the Forbearance Period, each Forbearing Lender (severally and not jointly) hereby agrees to (i) forbear and refrain from exercising any of its rights and remedies, including with respect to an Acceleration Event, under the Credit Agreement, the Security Documents, the other Loan Documents or applicable law with respect to the Payment Events of Default, (ii) instruct the Administrative Agent to forbear from (and not consent to its) exercising any of its rights and remedies, including with respect to an Acceleration Event, under the Credit Agreement, the other Loan Documents or applicable law with respect to the Payment Events of Default and (iii) in the event that the Administrative Agent or any Lender of group of Lenders takes any action which results in an Acceleration Event during the Forbearance Period, to, and shall promptly after the occurrence of such action, deliver written notice to the Administrative Agent to rescind such Acceleration Event and its consequences and take all other action in its power to cause such Acceleration Event to be rescinded and annulled. During the Forbearance Period, each Forbearing Lender (severally and not jointly) agrees that it (individually or collectively) will not deliver any notice or instruction to the Administrative Agent directing the Administrative Agent to exercise any of the rights and remedies under the Credit Agreement, the other Loan Documents or applicable law with respect to the Payment Events of Default, or any consent to any such exercise of rights and remedies. During the Forbearance Period, the Borrower shall not be required to deliver notice to the Lenders and/or the Agent of any Missed RCF Interest Payment or Missed Agency and Unutilized Fee Payment.</w:t>
      </w:r>
    </w:p>
    <w:p>
      <w:pPr>
        <w:spacing w:after="0" w:line="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Notwithstanding anything to the contrary in the Credit Agreement, to the extent that, and commencing on the date when, an outstanding principal amount (other than overdue principal amounts) of Indebtedness under any Debt Agreement (as defined below) shall start accruing interest at the default interest rate thereunder, the entire outstanding principal amount of Loans shall start automatically accruing default interest at the rate set forth in Section 2.7 of the Credit Agreement without any action on account of the Required Lenders or the Administrative Agent.</w:t>
      </w:r>
    </w:p>
    <w:p>
      <w:pPr>
        <w:spacing w:after="0" w:line="15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Forbearance Period</w:t>
      </w:r>
      <w:r>
        <w:rPr>
          <w:rFonts w:ascii="Times New Roman" w:cs="Times New Roman" w:eastAsia="Times New Roman" w:hAnsi="Times New Roman"/>
          <w:sz w:val="22"/>
          <w:szCs w:val="22"/>
          <w:color w:val="auto"/>
        </w:rPr>
        <w:t>. The forbearance set forth in this Agreement shall commence on January 13, 2026 (the “</w:t>
      </w:r>
      <w:r>
        <w:rPr>
          <w:rFonts w:ascii="Times New Roman" w:cs="Times New Roman" w:eastAsia="Times New Roman" w:hAnsi="Times New Roman"/>
          <w:sz w:val="22"/>
          <w:szCs w:val="22"/>
          <w:u w:val="single" w:color="auto"/>
          <w:color w:val="auto"/>
        </w:rPr>
        <w:t>Forbearance Effective Date</w:t>
      </w:r>
      <w:r>
        <w:rPr>
          <w:rFonts w:ascii="Times New Roman" w:cs="Times New Roman" w:eastAsia="Times New Roman" w:hAnsi="Times New Roman"/>
          <w:sz w:val="22"/>
          <w:szCs w:val="22"/>
          <w:color w:val="auto"/>
        </w:rPr>
        <w:t>”) and continue until the earlier of (a) January 23, 2026 (the “</w:t>
      </w:r>
      <w:r>
        <w:rPr>
          <w:rFonts w:ascii="Times New Roman" w:cs="Times New Roman" w:eastAsia="Times New Roman" w:hAnsi="Times New Roman"/>
          <w:sz w:val="22"/>
          <w:szCs w:val="22"/>
          <w:u w:val="single" w:color="auto"/>
          <w:color w:val="auto"/>
        </w:rPr>
        <w:t>Scheduled Termination Date</w:t>
      </w:r>
      <w:r>
        <w:rPr>
          <w:rFonts w:ascii="Times New Roman" w:cs="Times New Roman" w:eastAsia="Times New Roman" w:hAnsi="Times New Roman"/>
          <w:sz w:val="22"/>
          <w:szCs w:val="22"/>
          <w:color w:val="auto"/>
        </w:rPr>
        <w:t>”) and</w:t>
      </w:r>
    </w:p>
    <w:p>
      <w:pPr>
        <w:spacing w:after="0" w:line="1" w:lineRule="exact"/>
        <w:rPr>
          <w:sz w:val="20"/>
          <w:szCs w:val="20"/>
          <w:color w:val="auto"/>
        </w:rPr>
      </w:pPr>
    </w:p>
    <w:p>
      <w:pPr>
        <w:jc w:val="both"/>
        <w:ind w:firstLine="8"/>
        <w:spacing w:after="0" w:line="204" w:lineRule="auto"/>
        <w:tabs>
          <w:tab w:leader="none" w:pos="3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the Forbearance Period is terminated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below (the earlier of (a) and (b),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the period commencing on the Forbearance Effective Date and ending on the Termination Date, the “</w:t>
      </w:r>
      <w:r>
        <w:rPr>
          <w:rFonts w:ascii="Times New Roman" w:cs="Times New Roman" w:eastAsia="Times New Roman" w:hAnsi="Times New Roman"/>
          <w:sz w:val="22"/>
          <w:szCs w:val="22"/>
          <w:u w:val="single" w:color="auto"/>
          <w:color w:val="auto"/>
        </w:rPr>
        <w:t>Forbearance Period</w:t>
      </w:r>
      <w:r>
        <w:rPr>
          <w:rFonts w:ascii="Times New Roman" w:cs="Times New Roman" w:eastAsia="Times New Roman" w:hAnsi="Times New Roman"/>
          <w:sz w:val="22"/>
          <w:szCs w:val="22"/>
          <w:color w:val="auto"/>
        </w:rPr>
        <w:t xml:space="preserve">”). From and after the Termination Date, such forbearance shall immediately and automatically terminate and have no further force or effect, and each of the Forbearing Lenders and the Administrative Agent shall be released from any and all obligations and agreements under this Agreement and shall be entitled to exercise any of the rights and remedies as if this Agreement had never existed, and all of the rights and remedies under the Credit Agreement and at law and in equity shall be available without restriction or modification, as if such forbearance and had not occurred;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Scheduled Termination Date may be extended one or more times with the prior written consent of the Required Lenders (which the Administrative Agent, in its sole discretion, may solicit by email, and receipt by the Administrative Agent (or its designee) of email confirmation from the Lenders constituting at least the Required Lenders shall be deemed to satisfy the consent requirement of this Section 1.03).</w:t>
      </w:r>
    </w:p>
    <w:p>
      <w:pPr>
        <w:spacing w:after="0" w:line="10" w:lineRule="exact"/>
        <w:rPr>
          <w:rFonts w:ascii="Times New Roman" w:cs="Times New Roman" w:eastAsia="Times New Roman" w:hAnsi="Times New Roman"/>
          <w:sz w:val="22"/>
          <w:szCs w:val="22"/>
          <w:color w:val="auto"/>
        </w:rPr>
      </w:pPr>
    </w:p>
    <w:p>
      <w:pPr>
        <w:jc w:val="both"/>
        <w:ind w:firstLine="648"/>
        <w:spacing w:after="0" w:line="22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Effect of Forbearance</w:t>
      </w:r>
      <w:r>
        <w:rPr>
          <w:rFonts w:ascii="Times New Roman" w:cs="Times New Roman" w:eastAsia="Times New Roman" w:hAnsi="Times New Roman"/>
          <w:sz w:val="21"/>
          <w:szCs w:val="21"/>
          <w:color w:val="auto"/>
        </w:rPr>
        <w:t>. Except as expressly set forth herein, neither any Forbearing Lender nor the Administrative Agent has waived (regardless of any delay in exercising such rights and remedies) any default or Event of Default that may be continuing on the date hereof or any default or Event of Default that may occur after the date hereof (whether the same or similar to the Payment Events of Default or otherwise), and neither any Forbearing Lender nor the Administrative Agent has agreed to forbear with respect to any of its rights or remedies concerning any default or Event of Default (other than, during the Forbearance Period, the Payment Events of Default and solely to the extent expressly set forth herein) that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114" w:name="page115"/>
    <w:bookmarkEnd w:id="114"/>
    <w:p>
      <w:pPr>
        <w:jc w:val="both"/>
        <w:spacing w:after="0" w:line="212" w:lineRule="auto"/>
        <w:rPr>
          <w:sz w:val="20"/>
          <w:szCs w:val="20"/>
          <w:color w:val="auto"/>
        </w:rPr>
      </w:pPr>
      <w:r>
        <w:rPr>
          <w:rFonts w:ascii="Times New Roman" w:cs="Times New Roman" w:eastAsia="Times New Roman" w:hAnsi="Times New Roman"/>
          <w:sz w:val="22"/>
          <w:szCs w:val="22"/>
          <w:color w:val="auto"/>
        </w:rPr>
        <w:t>occurred or be continuing as of the date hereof, or that may occur after the date hereof. Except as expressly set forth herein, each Forbearing Lender and the Administrative Agent reserves all of its rights, powers, and remedies under the Credit Agreement and applicable law. Except as expressly set forth herein, the execution, delivery and effectiveness of this Agreement shall not directly or indirectly constitute a course of dealing or other basis for altering the Credit Agreement or any other contract, agreement or instrument. The Forbearing Lenders’ and the Administrative Agent’s agreement to forbear from exercising (and to waive temporarily) certain of their rights and remedies with respect to the Payment Events of Default during the Forbearance Period does not in any manner whatsoever limit any Forbearing Lender’s or the Administrative Agent’s right to insist upon strict compliance with the Credit Agreement (except to the extent expressly set forth herein).</w:t>
      </w:r>
    </w:p>
    <w:p>
      <w:pPr>
        <w:spacing w:after="0" w:line="152" w:lineRule="exact"/>
        <w:rPr>
          <w:sz w:val="20"/>
          <w:szCs w:val="20"/>
          <w:color w:val="auto"/>
        </w:rPr>
      </w:pPr>
    </w:p>
    <w:p>
      <w:pPr>
        <w:jc w:val="center"/>
        <w:ind w:right="-19"/>
        <w:spacing w:after="0"/>
        <w:tabs>
          <w:tab w:leader="none" w:pos="320" w:val="left"/>
        </w:tabs>
        <w:rPr>
          <w:sz w:val="20"/>
          <w:szCs w:val="20"/>
          <w:color w:val="auto"/>
        </w:rPr>
      </w:pPr>
      <w:r>
        <w:rPr>
          <w:rFonts w:ascii="Times New Roman" w:cs="Times New Roman" w:eastAsia="Times New Roman" w:hAnsi="Times New Roman"/>
          <w:sz w:val="22"/>
          <w:szCs w:val="22"/>
          <w:b w:val="1"/>
          <w:bCs w:val="1"/>
          <w:color w:val="010000"/>
        </w:rPr>
        <w:t>Section II.</w:t>
      </w:r>
      <w:r>
        <w:rPr>
          <w:sz w:val="20"/>
          <w:szCs w:val="20"/>
          <w:color w:val="auto"/>
        </w:rPr>
        <w:tab/>
      </w:r>
      <w:r>
        <w:rPr>
          <w:rFonts w:ascii="Times New Roman" w:cs="Times New Roman" w:eastAsia="Times New Roman" w:hAnsi="Times New Roman"/>
          <w:sz w:val="21"/>
          <w:szCs w:val="21"/>
          <w:b w:val="1"/>
          <w:bCs w:val="1"/>
          <w:color w:val="auto"/>
        </w:rPr>
        <w:t>EVENTS OF TERMINATION</w:t>
      </w:r>
    </w:p>
    <w:p>
      <w:pPr>
        <w:spacing w:after="0" w:line="183"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Events of Termination</w:t>
      </w:r>
      <w:r>
        <w:rPr>
          <w:rFonts w:ascii="Times New Roman" w:cs="Times New Roman" w:eastAsia="Times New Roman" w:hAnsi="Times New Roman"/>
          <w:sz w:val="22"/>
          <w:szCs w:val="22"/>
          <w:color w:val="auto"/>
        </w:rPr>
        <w:t>. The Forbearance Period shall automatically terminate if any of the following events shall occur (each, an “</w:t>
      </w:r>
      <w:r>
        <w:rPr>
          <w:rFonts w:ascii="Times New Roman" w:cs="Times New Roman" w:eastAsia="Times New Roman" w:hAnsi="Times New Roman"/>
          <w:sz w:val="22"/>
          <w:szCs w:val="22"/>
          <w:u w:val="single" w:color="auto"/>
          <w:color w:val="auto"/>
        </w:rPr>
        <w:t>Event of Termination</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660" w:firstLine="644"/>
        <w:spacing w:after="0" w:line="218" w:lineRule="auto"/>
        <w:tabs>
          <w:tab w:leader="none" w:pos="1953"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case under title 11 of the United States Code, any restructuring plan, scheme, or similar proceeding under the laws of the United Kingdom, or any reorganization, liquidation, insolvency, or receivership proceeding under applicable law of any jurisdiction is commenced by or against the Obligors or a subsidiary of the Obligors;</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12" w:lineRule="auto"/>
        <w:tabs>
          <w:tab w:leader="none" w:pos="1951"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occurrence of (i) a Default or Event of Default under the Credit Agreement or (ii) a default, Default or Event of Default under and as defined in (A) the Series I Credit Agreement, (B) LC Facility, (C) Series II Credit Agreement, (D) the Term Loan B Credit Agreement, (E) the 2026 Notes Indenture, (F) the 2029 Notes Indenture,</w:t>
      </w:r>
    </w:p>
    <w:p>
      <w:pPr>
        <w:spacing w:after="0" w:line="1" w:lineRule="exact"/>
        <w:rPr>
          <w:rFonts w:ascii="Times New Roman" w:cs="Times New Roman" w:eastAsia="Times New Roman" w:hAnsi="Times New Roman"/>
          <w:sz w:val="22"/>
          <w:szCs w:val="22"/>
          <w:color w:val="010000"/>
        </w:rPr>
      </w:pPr>
    </w:p>
    <w:p>
      <w:pPr>
        <w:jc w:val="both"/>
        <w:ind w:left="660" w:hanging="4"/>
        <w:spacing w:after="0" w:line="209" w:lineRule="auto"/>
        <w:tabs>
          <w:tab w:leader="none" w:pos="101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2029 Notes Indenture or (H) Term Loan A Credit Agreement (the Series I Credit Agreement, the LC Facility, the Series II Credit Agreement, the Term Loan B Credit Agreement, the 2026 Notes Indenture, the 2029 Notes Indenture, the New 2029 Notes Indenture and the Term Loan A Credit Agreement the “</w:t>
      </w:r>
      <w:r>
        <w:rPr>
          <w:rFonts w:ascii="Times New Roman" w:cs="Times New Roman" w:eastAsia="Times New Roman" w:hAnsi="Times New Roman"/>
          <w:sz w:val="22"/>
          <w:szCs w:val="22"/>
          <w:u w:val="single" w:color="auto"/>
          <w:color w:val="auto"/>
        </w:rPr>
        <w:t>Debt Agreements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in each case, other than (x) the Payment Events of Default (and related defaults solely giving rise to the Payment Events of Default) or (y) any default arising under any Debt Agreement on account of the failure of the applicable borrower or issuer to make any payment prohibited pursuant to the following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to the extent that such default remains unmatured or the requisite creditors under such Debt Agreement are precluded from exercising remedies thereunder pursuant to a waiver thereunder, a forbearance agreement in connection therewith or the terms of such Debt Agreement; or</w:t>
      </w:r>
    </w:p>
    <w:p>
      <w:pPr>
        <w:spacing w:after="0" w:line="153"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other than payment when due of obligations under that certain Loan Agreement, dated as of May 31, 2024, by and between New Fortress Energy Inc., as the borrower, and Stonebriar Commercial Finance LLC, as the lender, the payment by any Loan Party or any Subsidiary thereof of any principal, interest or any other amounts under any Debt Agreement, whether contractually required thereunder or as voluntary prepayments (other than (x) payments of accrued and unpaid interest on and fees pursuant to and under the LC Facility and (y) fees relating to letters of credit under the Credit Agreement), that certain Master LNG Sale and Purchase Agreement, dated as of June 11, 2025, between Macquarie Commodities Trading (Singapore) Pte Limited and NFE North Trading LLC (the “</w:t>
      </w:r>
      <w:r>
        <w:rPr>
          <w:rFonts w:ascii="Times New Roman" w:cs="Times New Roman" w:eastAsia="Times New Roman" w:hAnsi="Times New Roman"/>
          <w:sz w:val="21"/>
          <w:szCs w:val="21"/>
          <w:u w:val="single" w:color="auto"/>
          <w:color w:val="auto"/>
        </w:rPr>
        <w:t>Macquarie Facility</w:t>
      </w:r>
      <w:r>
        <w:rPr>
          <w:rFonts w:ascii="Times New Roman" w:cs="Times New Roman" w:eastAsia="Times New Roman" w:hAnsi="Times New Roman"/>
          <w:sz w:val="21"/>
          <w:szCs w:val="21"/>
          <w:color w:val="auto"/>
        </w:rPr>
        <w:t>”), or any other Indebtedness of the Loan Parties for borrowed money having equal priority of payments or Liens securing such Indebtedness with the Obligations under the Credit Agreement (collectively, the “</w:t>
      </w: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provided that the issuance of any letter of credit under the Revolving Credit Agreement or LC Facility to support Brazil Parent or its Subsidiaries shall require the consent of the Required Lenders (not to be unreasonably withheld, conditioned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15" w:name="page116"/>
    <w:bookmarkEnd w:id="115"/>
    <w:p>
      <w:pPr>
        <w:ind w:left="660"/>
        <w:spacing w:after="0" w:line="236" w:lineRule="auto"/>
        <w:rPr>
          <w:sz w:val="20"/>
          <w:szCs w:val="20"/>
          <w:color w:val="auto"/>
        </w:rPr>
      </w:pPr>
      <w:r>
        <w:rPr>
          <w:rFonts w:ascii="Times New Roman" w:cs="Times New Roman" w:eastAsia="Times New Roman" w:hAnsi="Times New Roman"/>
          <w:sz w:val="22"/>
          <w:szCs w:val="22"/>
          <w:color w:val="auto"/>
        </w:rPr>
        <w:t>delayed) (it being understood and agreed that the consent required by this proviso shall not apply to renewal, rollover or replacement of any letter of credit that exists as of the Forbearance Effective Date).</w:t>
      </w:r>
    </w:p>
    <w:p>
      <w:pPr>
        <w:spacing w:after="0" w:line="146" w:lineRule="exact"/>
        <w:rPr>
          <w:sz w:val="20"/>
          <w:szCs w:val="20"/>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22"/>
          <w:szCs w:val="22"/>
          <w:b w:val="1"/>
          <w:bCs w:val="1"/>
          <w:color w:val="010000"/>
        </w:rPr>
        <w:t>Section III.</w:t>
      </w:r>
      <w:r>
        <w:rPr>
          <w:sz w:val="20"/>
          <w:szCs w:val="20"/>
          <w:color w:val="auto"/>
        </w:rPr>
        <w:tab/>
      </w:r>
      <w:r>
        <w:rPr>
          <w:rFonts w:ascii="Times New Roman" w:cs="Times New Roman" w:eastAsia="Times New Roman" w:hAnsi="Times New Roman"/>
          <w:sz w:val="21"/>
          <w:szCs w:val="21"/>
          <w:b w:val="1"/>
          <w:bCs w:val="1"/>
          <w:color w:val="auto"/>
        </w:rPr>
        <w:t>REPRESENTATIONS AND WARRANTIES AND AGREEMENTS</w:t>
      </w:r>
    </w:p>
    <w:p>
      <w:pPr>
        <w:spacing w:after="0" w:line="18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Representations and Warranties of the Obligors</w:t>
      </w:r>
      <w:r>
        <w:rPr>
          <w:rFonts w:ascii="Times New Roman" w:cs="Times New Roman" w:eastAsia="Times New Roman" w:hAnsi="Times New Roman"/>
          <w:sz w:val="22"/>
          <w:szCs w:val="22"/>
          <w:color w:val="auto"/>
        </w:rPr>
        <w:t>. In consideration of the foregoing agreements, the Obligors and the Company hereby represent and warrant to each Forbearing Lender as follows:</w:t>
      </w:r>
    </w:p>
    <w:p>
      <w:pPr>
        <w:spacing w:after="0" w:line="150" w:lineRule="exact"/>
        <w:rPr>
          <w:sz w:val="20"/>
          <w:szCs w:val="20"/>
          <w:color w:val="auto"/>
        </w:rPr>
      </w:pPr>
    </w:p>
    <w:p>
      <w:pPr>
        <w:jc w:val="both"/>
        <w:ind w:left="660" w:firstLine="644"/>
        <w:spacing w:after="0" w:line="217" w:lineRule="auto"/>
        <w:tabs>
          <w:tab w:leader="none" w:pos="1953"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the Credit Agreement, and the other Loan Documents constitute valid and legally binding agreements, enforceable against the Obligors, as applicable,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Obligors is duly organized, validly existing and in good standing under the laws of the jurisdiction of its organization and has all requisite power and authority to own and operate its properties, to carry on its business as now conducted and to enter into and, as applicable, perform its obligations hereunder and under the Credit Agreement and the other Loan Documents.</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3"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the Credit Agreement and the other Loan Documents have been duly and validly authorized by the Obligors and has been duly executed and delivered by the Obligors.</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09" w:lineRule="auto"/>
        <w:tabs>
          <w:tab w:leader="none" w:pos="1951"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date hereof, except for the Payment Events of Default (and the Defaults giving rise to such Payment Events of Default), the Specified Events of Default (as defined in the 2029 Senior Notes Forbearance Agreement), the Specified Events of Default (as defined in the Term Loan B Forbearance Agreement), the Interest Payment Event of Default (as defined in the Term Loan A Forbearance Agreement), or any default arising from a missed interest payment under that certain EB-5 Loan Agreement made and entered into as of July 21, 2023, between ZeroPark I LLC, and CanAm Texas Regional Center, LP IV, as the lender, or the Macquarie Facility, (i) no Default or Event of Default (as defined in the applicable Debt Agreement or Other Agreement) has occurred or is continuing under this Agreement or the Credit Agreement or any other Debt Agreement or Other Agreement and (ii) all representations and warranties contained in this Agreement,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w:t>
      </w:r>
    </w:p>
    <w:p>
      <w:pPr>
        <w:spacing w:after="0" w:line="160"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3"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giving effect to this Agreement, the Payment Events of Default (nor the Defaults giving rise to the Payment Events of Default), whether individually or collectively, does not constitute or will not constitute, or does not result or will not result in, a default or an Event of Default (as defined in the applicable Debt Agreement or Other Agreement) under any Debt Agreement or Other Agreement (other than any such default or Event of Default for which the requisite creditors under such Debt Agreement or Other Agreement are precluded from exercising remedies thereunder pursuant to a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21"/>
          <w:szCs w:val="21"/>
          <w:color w:val="auto"/>
        </w:rPr>
        <w:t>thereunder, a forbearance agreement in connection therewith or the terms of such Debt Agreement or Other Agreement).</w:t>
      </w:r>
    </w:p>
    <w:p>
      <w:pPr>
        <w:spacing w:after="0" w:line="191" w:lineRule="exact"/>
        <w:rPr>
          <w:sz w:val="20"/>
          <w:szCs w:val="20"/>
          <w:color w:val="auto"/>
        </w:rPr>
      </w:pPr>
    </w:p>
    <w:p>
      <w:pPr>
        <w:jc w:val="both"/>
        <w:ind w:left="660" w:firstLine="644"/>
        <w:spacing w:after="0" w:line="225" w:lineRule="auto"/>
        <w:tabs>
          <w:tab w:leader="none" w:pos="1956"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Forbearance Effective Date, the total outstanding principal amount of the Loans is $660,400,000.00 and neither the Borrower nor any Subsidiary has any claim, counterclaim, defense or right of set-off or recoupment to the Obligations.</w:t>
      </w:r>
    </w:p>
    <w:p>
      <w:pPr>
        <w:spacing w:after="0" w:line="148"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22"/>
          <w:szCs w:val="22"/>
          <w:b w:val="1"/>
          <w:bCs w:val="1"/>
          <w:color w:val="010000"/>
        </w:rPr>
        <w:t>Section IV.</w:t>
      </w:r>
      <w:r>
        <w:rPr>
          <w:sz w:val="20"/>
          <w:szCs w:val="20"/>
          <w:color w:val="auto"/>
        </w:rPr>
        <w:tab/>
      </w:r>
      <w:r>
        <w:rPr>
          <w:rFonts w:ascii="Times New Roman" w:cs="Times New Roman" w:eastAsia="Times New Roman" w:hAnsi="Times New Roman"/>
          <w:sz w:val="21"/>
          <w:szCs w:val="21"/>
          <w:b w:val="1"/>
          <w:bCs w:val="1"/>
          <w:color w:val="auto"/>
        </w:rPr>
        <w:t>COVENANTS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Borrower shall, and shall cause its Subsidiaries to, comply with the covenants set forth below and, notwithstanding anything in Section 7.1 of the Credit Agreement to the contrary, failure to comply with any provision of this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shall be an immediate Event of Default: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On or before January 20, 2026 (or such later date as agreed by the Administrative Agent in its sole discretion), the Borrower shall deliver the documents, information, or other deliverables set forth on </w:t>
      </w:r>
      <w:r>
        <w:rPr>
          <w:rFonts w:ascii="Times New Roman" w:cs="Times New Roman" w:eastAsia="Times New Roman" w:hAnsi="Times New Roman"/>
          <w:sz w:val="22"/>
          <w:szCs w:val="22"/>
          <w:u w:val="single" w:color="auto"/>
          <w:color w:val="auto"/>
        </w:rPr>
        <w:t>Schedule 1-A</w:t>
      </w:r>
      <w:r>
        <w:rPr>
          <w:rFonts w:ascii="Times New Roman" w:cs="Times New Roman" w:eastAsia="Times New Roman" w:hAnsi="Times New Roman"/>
          <w:sz w:val="22"/>
          <w:szCs w:val="22"/>
          <w:color w:val="auto"/>
        </w:rPr>
        <w:t xml:space="preserve"> in form and substance reasonably satisfactory to the Required Lenders.</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and its Subsidiaries shall comply with the covenants set forth on </w:t>
      </w:r>
      <w:r>
        <w:rPr>
          <w:rFonts w:ascii="Times New Roman" w:cs="Times New Roman" w:eastAsia="Times New Roman" w:hAnsi="Times New Roman"/>
          <w:sz w:val="22"/>
          <w:szCs w:val="22"/>
          <w:u w:val="single" w:color="auto"/>
          <w:color w:val="auto"/>
        </w:rPr>
        <w:t>Schedule 1-B</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tabs>
          <w:tab w:leader="none" w:pos="320" w:val="left"/>
        </w:tabs>
        <w:rPr>
          <w:sz w:val="20"/>
          <w:szCs w:val="20"/>
          <w:color w:val="auto"/>
        </w:rPr>
      </w:pPr>
      <w:r>
        <w:rPr>
          <w:rFonts w:ascii="Times New Roman" w:cs="Times New Roman" w:eastAsia="Times New Roman" w:hAnsi="Times New Roman"/>
          <w:sz w:val="22"/>
          <w:szCs w:val="22"/>
          <w:b w:val="1"/>
          <w:bCs w:val="1"/>
          <w:color w:val="010000"/>
        </w:rPr>
        <w:t>Section V.</w:t>
      </w:r>
      <w:r>
        <w:rPr>
          <w:sz w:val="20"/>
          <w:szCs w:val="20"/>
          <w:color w:val="auto"/>
        </w:rPr>
        <w:tab/>
      </w:r>
      <w:r>
        <w:rPr>
          <w:rFonts w:ascii="Times New Roman" w:cs="Times New Roman" w:eastAsia="Times New Roman" w:hAnsi="Times New Roman"/>
          <w:sz w:val="21"/>
          <w:szCs w:val="21"/>
          <w:b w:val="1"/>
          <w:bCs w:val="1"/>
          <w:color w:val="auto"/>
        </w:rPr>
        <w:t>CONDITIONS TO EFFECTIVENESS</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This Agreement shall become effective on the first date that all of the following conditions precedent have been and will continue to be satisfied (or waived by the Forbearing Lenders):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Execution of this Agreement.</w:t>
      </w:r>
      <w:r>
        <w:rPr>
          <w:rFonts w:ascii="Times New Roman" w:cs="Times New Roman" w:eastAsia="Times New Roman" w:hAnsi="Times New Roman"/>
          <w:sz w:val="22"/>
          <w:szCs w:val="22"/>
          <w:color w:val="auto"/>
        </w:rPr>
        <w:t xml:space="preserve"> The parties to this Agreement shall have received counterparts of this Agreement duly executed by (i) the Obligors and (ii) the Required Lenders.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contained herein shall be true and correct in all respects, and no Default or Event of Default (other than the Payment Events of Default and any Defaults giving rise to such Payment Events of Default) shall exist on the date hereof or on the Forbearance Effective Date.</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The Borrower shall have paid or caused to be paid on or before the Forbearance Effective Date all fees, costs and expenses then payable or reimbursable (including of any reasonable and documented fees of FTI Consulting Ltd, as advisor to the Administrative Agent, Moelis &amp; Company, as advisor to the Administrative Agent (“</w:t>
      </w:r>
      <w:r>
        <w:rPr>
          <w:rFonts w:ascii="Times New Roman" w:cs="Times New Roman" w:eastAsia="Times New Roman" w:hAnsi="Times New Roman"/>
          <w:sz w:val="22"/>
          <w:szCs w:val="22"/>
          <w:u w:val="single" w:color="auto"/>
          <w:color w:val="auto"/>
        </w:rPr>
        <w:t>Moelis</w:t>
      </w:r>
      <w:r>
        <w:rPr>
          <w:rFonts w:ascii="Times New Roman" w:cs="Times New Roman" w:eastAsia="Times New Roman" w:hAnsi="Times New Roman"/>
          <w:sz w:val="22"/>
          <w:szCs w:val="22"/>
          <w:color w:val="auto"/>
        </w:rPr>
        <w:t>”), and any other counsel or advisors of the Administrative Agent) to the Administrative Agent and Lenders in accordance with any agreement among the Borrower and the Administrative Agent or such Lender, in each case, to the extent invoices have been delivered to the Borrower prior to the Forbearance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17" w:name="page118"/>
    <w:bookmarkEnd w:id="117"/>
    <w:p>
      <w:pPr>
        <w:jc w:val="center"/>
        <w:ind w:right="-19"/>
        <w:spacing w:after="0"/>
        <w:tabs>
          <w:tab w:leader="none" w:pos="240" w:val="left"/>
        </w:tabs>
        <w:rPr>
          <w:sz w:val="20"/>
          <w:szCs w:val="20"/>
          <w:color w:val="auto"/>
        </w:rPr>
      </w:pPr>
      <w:r>
        <w:rPr>
          <w:rFonts w:ascii="Times New Roman" w:cs="Times New Roman" w:eastAsia="Times New Roman" w:hAnsi="Times New Roman"/>
          <w:sz w:val="22"/>
          <w:szCs w:val="22"/>
          <w:b w:val="1"/>
          <w:bCs w:val="1"/>
          <w:color w:val="010000"/>
        </w:rPr>
        <w:t>Section VI.</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8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Confirmation</w:t>
      </w:r>
      <w:r>
        <w:rPr>
          <w:rFonts w:ascii="Times New Roman" w:cs="Times New Roman" w:eastAsia="Times New Roman" w:hAnsi="Times New Roman"/>
          <w:sz w:val="22"/>
          <w:szCs w:val="22"/>
          <w:color w:val="auto"/>
        </w:rPr>
        <w:t xml:space="preserve"> . The provisions of the Credit Agreement (as amended by this Agreement) shall remain in full force and effect in accordance with its terms following the effectiveness of this Agreement.</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and delivered in any number of counterparts with the same effect as if the signatures on each counterpart were upon the same instrument. Any counterpart delivered by facsimile or by other electronic method of transmission shall be deemed an original signature hereto.</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The Borrower and each Guarantor hereby forever waives, releases, remises and discharges the Administrative Agent, the Lenders, their investment advisors, sub-advisors, and managers, and each of their respective Affiliates, and each of their officers, directors, employees, agents, and professionals, including, without limitation, Sidley Austin LLP, as counsel to the Administrative Agent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Forbearance Effective Date against any such Releasee which concerns, directly or indirectly, the Borrower or any Guarantor, the negotiation and execution of this Agreement, the Credit Agreement or any other Loan Document, or any acts or omissions of any such Releasee relating to the Borrower, any Guarantor, the Credit Agreement or any other Loan Document, in each case, to the extent pertaining to facts, events or circumstances existing on or prior to (but not after) the Forbearance Effective Date (the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The Loan Parties further covenant not to sue, commence, institute or prosecute, or supporting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the Credit Agreement, and the other Loan Documents and payment in full of all Obligations in respect thereof and is in addition to any other release or covenant not to sue in favor of the Releasees.</w:t>
      </w:r>
    </w:p>
    <w:p>
      <w:pPr>
        <w:spacing w:after="0" w:line="16"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Nothing in this Agreement is intended, or shall be construed, to supersede Section 9.14 of the Credit Agreement.</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Ratification and Affirmation</w:t>
      </w:r>
      <w:r>
        <w:rPr>
          <w:rFonts w:ascii="Times New Roman" w:cs="Times New Roman" w:eastAsia="Times New Roman" w:hAnsi="Times New Roman"/>
          <w:sz w:val="22"/>
          <w:szCs w:val="22"/>
          <w:color w:val="auto"/>
        </w:rPr>
        <w:t>. The Borrower and each Guarantor hereby: (x) acknowledges and consents to the terms of this Agreement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or modified pursuant to this Agreement) and agrees that each Loan Document to which it is a party remains in full force and effect, as expressly amended hereby and that none of its obligations thereunder shall be impaired or limited by the execution or effectiveness of this Agreement (subject to applicable bankruptcy, insolvency, reorganization, moratorium or similar laws affecting the enforcement of creditors’ rights generally and by general equitable principles (whether enforcement is sought by proceedings in equity or at law)).</w:t>
      </w:r>
    </w:p>
    <w:p>
      <w:pPr>
        <w:ind w:left="660"/>
        <w:spacing w:after="0" w:line="224" w:lineRule="auto"/>
        <w:tabs>
          <w:tab w:leader="none" w:pos="1940" w:val="left"/>
        </w:tabs>
        <w:rPr>
          <w:sz w:val="20"/>
          <w:szCs w:val="20"/>
          <w:color w:val="auto"/>
        </w:rPr>
      </w:pPr>
      <w:r>
        <w:rPr>
          <w:rFonts w:ascii="Times New Roman" w:cs="Times New Roman" w:eastAsia="Times New Roman" w:hAnsi="Times New Roman"/>
          <w:sz w:val="22"/>
          <w:szCs w:val="22"/>
          <w:color w:val="auto"/>
        </w:rPr>
        <w:t>Section 6.06</w:t>
      </w:r>
      <w:r>
        <w:rPr>
          <w:sz w:val="20"/>
          <w:szCs w:val="20"/>
          <w:color w:val="auto"/>
        </w:rPr>
        <w:tab/>
      </w:r>
      <w:r>
        <w:rPr>
          <w:rFonts w:ascii="Times New Roman" w:cs="Times New Roman" w:eastAsia="Times New Roman" w:hAnsi="Times New Roman"/>
          <w:sz w:val="21"/>
          <w:szCs w:val="21"/>
          <w:u w:val="single" w:color="auto"/>
          <w:color w:val="auto"/>
        </w:rPr>
        <w:t>Interpretive Matters</w:t>
      </w:r>
      <w:r>
        <w:rPr>
          <w:rFonts w:ascii="Times New Roman" w:cs="Times New Roman" w:eastAsia="Times New Roman" w:hAnsi="Times New Roman"/>
          <w:sz w:val="21"/>
          <w:szCs w:val="21"/>
          <w:color w:val="auto"/>
        </w:rPr>
        <w:t>.</w:t>
      </w:r>
    </w:p>
    <w:p>
      <w:pPr>
        <w:jc w:val="both"/>
        <w:ind w:left="660" w:firstLine="644"/>
        <w:spacing w:after="0" w:line="212" w:lineRule="auto"/>
        <w:tabs>
          <w:tab w:leader="none" w:pos="1953"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of this Agreement clearly requires otherwise, references to the plural include the singular, references to the singular include the plural, and the term “including” is not limiting. The words “hereof,” “herein,” “hereby,” “hereunder,” and similar terms in this Agreement refer to this Agreement as a whole and not to any particular provision of this Agreement. Section, subsection and clause references herein are to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118" w:name="page119"/>
    <w:bookmarkEnd w:id="118"/>
    <w:p>
      <w:pPr>
        <w:ind w:left="660" w:right="20" w:firstLine="644"/>
        <w:spacing w:after="0" w:line="236" w:lineRule="auto"/>
        <w:tabs>
          <w:tab w:leader="none" w:pos="195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“person” as used in this Agreement shall be broadly interpreted to include, without limitation, any individual, corporation, company, partnership or other entity.</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Capitalized terms used but not defined in this Agreement have the meanings given to them in the Credit Agreement unless expressly provided otherwise.</w:t>
      </w:r>
    </w:p>
    <w:p>
      <w:pPr>
        <w:spacing w:after="0" w:line="150"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New York, not including the conflict of law rules and principles thereof.</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the Obligors, the Forbearing Lenders and their respective successors and assigns, and shall inure to the benefit of each such person and their permitted successors and assigns.</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Agreement are included herein for convenience of reference only and shall not constitute a part of this Agreement for any other purpose.</w:t>
      </w:r>
    </w:p>
    <w:p>
      <w:pPr>
        <w:spacing w:after="0" w:line="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6.10 </w:t>
      </w: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This Agreement contains the entire understanding of the parties hereto with regard to the subject matter contained herein. This Agreement supersedes all prior or contemporaneous negotiations, promises, covenants, agreements and representations of every nature whatsoever with respect to the matters referred to in this Agreement, all of which have become merged and finally integrated into this Agreement. Each of the parties hereto understands that in the event of any subsequent litigation, controversy or dispute concerning any of the terms, conditions or provisions of this Agreement, no party shall be entitled to offer or introduce into evidence any oral promises or oral agreements between the parties relating to the subject matter of this Agreement not included or referred to herein and not reflected by a writing included or referred to herein.</w:t>
      </w:r>
    </w:p>
    <w:p>
      <w:pPr>
        <w:spacing w:after="0" w:line="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6.11 </w:t>
      </w:r>
      <w:r>
        <w:rPr>
          <w:rFonts w:ascii="Times New Roman" w:cs="Times New Roman" w:eastAsia="Times New Roman" w:hAnsi="Times New Roman"/>
          <w:sz w:val="21"/>
          <w:szCs w:val="21"/>
          <w:b w:val="1"/>
          <w:bCs w:val="1"/>
          <w:u w:val="single" w:color="auto"/>
          <w:color w:val="auto"/>
        </w:rPr>
        <w:t>Jury Trial Waiver</w:t>
      </w:r>
      <w:r>
        <w:rPr>
          <w:rFonts w:ascii="Times New Roman" w:cs="Times New Roman" w:eastAsia="Times New Roman" w:hAnsi="Times New Roman"/>
          <w:sz w:val="21"/>
          <w:szCs w:val="21"/>
          <w:b w:val="1"/>
          <w:bCs w:val="1"/>
          <w:color w:val="auto"/>
        </w:rPr>
        <w:t>. The Obligors and the Forbearing Lenders, by acceptance of this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mutually hereby knowingly, voluntarily and intentionally waive the right to a trial by jury in respect of any litigation based herein, arising out of, under or in connection with this Agreement or the Credit Agreement or any other documents contemplated to be executed in connection herewith, or any course of conduct, course of dealings, statements (whether verbal or written) or actions of any party, including, without limitation, any course of conduct, course of dealings, statements or actions of any Forbearing Lender relating to the administration of the Term Loans or enforcement of the Credit Agreement arising out of tort, strict liability, contract or any other law, and agree that no party will seek to consolidate any such action with any other action in which a jury trial cannot be or has not been waived.</w:t>
      </w:r>
    </w:p>
    <w:p>
      <w:pPr>
        <w:spacing w:after="0" w:line="5"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Email</w:t>
      </w:r>
      <w:r>
        <w:rPr>
          <w:rFonts w:ascii="Times New Roman" w:cs="Times New Roman" w:eastAsia="Times New Roman" w:hAnsi="Times New Roman"/>
          <w:sz w:val="22"/>
          <w:szCs w:val="22"/>
          <w:color w:val="auto"/>
        </w:rPr>
        <w:t>. Unless the context of this Agreement clearly requires otherwise, any notice or other communication required by this Agreement, regardless of whether the applicable subsection of this Agreement contemplates email delivery of such notice or communication, may be done via email.</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only be amended or modified in writing (including email by counsel) by the Obligors and Forbearing Lenders constituting at least the Required Lenders.</w:t>
      </w:r>
    </w:p>
    <w:p>
      <w:pPr>
        <w:spacing w:after="0" w:line="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This Agreement as defined and described in the Credit Agreement and all of the terms and provisions of the Credit Agreement relating to Loan Documents shall apply 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19" w:name="page120"/>
    <w:bookmarkEnd w:id="11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3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NEW FORTRESS ENERGY INC.</w:t>
      </w: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274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476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NEW FORTRESS INTERMEDIATE LLC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274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476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15"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NFE ATLANTIC HOLDINGS LLC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274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476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AMERICAN ENERGY LOGISTICS SOLUTIONS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ATLANTIC ENERGY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DEVELOPMENT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GPF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GPF PARTNERS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POWER HOLDINGS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POWER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TRANSPORT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TRANSPORT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ISLAND LNG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LA DEVELOPMENT HOLDINGS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LA REAL ESTATE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LA REAL ESTATE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LNG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FLNG 2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11240"/>
          </w:cols>
          <w:pgMar w:left="320" w:top="1422" w:right="339" w:bottom="1440" w:gutter="0" w:footer="0" w:header="0"/>
        </w:sectPr>
      </w:pPr>
    </w:p>
    <w:bookmarkStart w:id="120" w:name="page121"/>
    <w:bookmarkEnd w:id="120"/>
    <w:p>
      <w:pPr>
        <w:ind w:left="1800" w:right="2599"/>
        <w:spacing w:after="0" w:line="253" w:lineRule="auto"/>
        <w:rPr>
          <w:sz w:val="20"/>
          <w:szCs w:val="20"/>
          <w:color w:val="auto"/>
        </w:rPr>
      </w:pPr>
      <w:r>
        <w:rPr>
          <w:rFonts w:ascii="Times New Roman" w:cs="Times New Roman" w:eastAsia="Times New Roman" w:hAnsi="Times New Roman"/>
          <w:sz w:val="22"/>
          <w:szCs w:val="22"/>
          <w:b w:val="1"/>
          <w:bCs w:val="1"/>
          <w:color w:val="auto"/>
        </w:rPr>
        <w:t>NEW FORTRESS ENERGY MARKETING LLC NEW FORTRESS ENERGY HOLDINGS LLC NFE ANDROMEDA CHARTERING LLC NFE ANGOLA HOLDINGS LLC</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BCS HOLDINGS (A)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BCS HOLDINGS (B)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EQUIPMENT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EQUIPMENT PARTNERS LLC</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GHANA HOLDINGS LLC</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GHANA PARTNERS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GLOBAL SHIPPING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GRAND SHIPPING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HONDURAS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INTERNATIONAL LLC</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INTERNATIONAL SHIPPING LLC</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ISO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ISO PARTNERS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JAMAICA GP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LOGISTICS HOLDINGS LLC</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MANAGEMENT LLC</w:t>
      </w:r>
    </w:p>
    <w:p>
      <w:pPr>
        <w:spacing w:after="0" w:line="15" w:lineRule="exact"/>
        <w:rPr>
          <w:sz w:val="20"/>
          <w:szCs w:val="20"/>
          <w:color w:val="auto"/>
        </w:rPr>
      </w:pPr>
    </w:p>
    <w:p>
      <w:pPr>
        <w:ind w:left="1800" w:right="1939"/>
        <w:spacing w:after="0" w:line="248" w:lineRule="auto"/>
        <w:rPr>
          <w:sz w:val="20"/>
          <w:szCs w:val="20"/>
          <w:color w:val="auto"/>
        </w:rPr>
      </w:pPr>
      <w:r>
        <w:rPr>
          <w:rFonts w:ascii="Times New Roman" w:cs="Times New Roman" w:eastAsia="Times New Roman" w:hAnsi="Times New Roman"/>
          <w:sz w:val="22"/>
          <w:szCs w:val="22"/>
          <w:b w:val="1"/>
          <w:bCs w:val="1"/>
          <w:color w:val="auto"/>
        </w:rPr>
        <w:t>NFE NICARAGUA DEVELOPMENT PARTNERS LLC NFE NICARAGUA HOLDINGS LLC</w:t>
      </w:r>
    </w:p>
    <w:p>
      <w:pPr>
        <w:spacing w:after="0" w:line="39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-13970</wp:posOffset>
            </wp:positionV>
            <wp:extent cx="4114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9019"/>
          </w:cols>
          <w:pgMar w:left="1440" w:top="1418" w:right="1440" w:bottom="1440" w:gutter="0" w:footer="0" w:header="0"/>
        </w:sectPr>
      </w:pPr>
    </w:p>
    <w:bookmarkStart w:id="121" w:name="page122"/>
    <w:bookmarkEnd w:id="121"/>
    <w:p>
      <w:pPr>
        <w:spacing w:after="0" w:line="200" w:lineRule="exact"/>
        <w:rPr>
          <w:sz w:val="20"/>
          <w:szCs w:val="20"/>
          <w:color w:val="auto"/>
        </w:rPr>
      </w:pPr>
    </w:p>
    <w:p>
      <w:pPr>
        <w:spacing w:after="0" w:line="2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NORTH TRADING LLC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PIONEER 1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PIONEER 2 LLC</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PIONEER 3 LLC</w:t>
      </w:r>
    </w:p>
    <w:p>
      <w:pPr>
        <w:spacing w:after="0" w:line="15" w:lineRule="exact"/>
        <w:rPr>
          <w:sz w:val="20"/>
          <w:szCs w:val="20"/>
          <w:color w:val="auto"/>
        </w:rPr>
      </w:pPr>
    </w:p>
    <w:p>
      <w:pPr>
        <w:ind w:left="1800" w:right="2539"/>
        <w:spacing w:after="0" w:line="243" w:lineRule="auto"/>
        <w:rPr>
          <w:sz w:val="20"/>
          <w:szCs w:val="20"/>
          <w:color w:val="auto"/>
        </w:rPr>
      </w:pPr>
      <w:r>
        <w:rPr>
          <w:rFonts w:ascii="Times New Roman" w:cs="Times New Roman" w:eastAsia="Times New Roman" w:hAnsi="Times New Roman"/>
          <w:sz w:val="22"/>
          <w:szCs w:val="22"/>
          <w:b w:val="1"/>
          <w:bCs w:val="1"/>
          <w:color w:val="auto"/>
        </w:rPr>
        <w:t>NFE PLANT DEVELOPMENT HOLDINGS LLC NFE FLNG 1 ISSUER LLC</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SOUTH POWER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SUB LLC</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TRANSPORT HOLDINGS LLC</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TRANSPORT PARTNERS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NFE US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PA DEVELOPMENT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PA REAL ESTATE HOLDINGS LLC</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PA REAL ESTATE PARTNERS LLC</w:t>
      </w:r>
    </w:p>
    <w:p>
      <w:pPr>
        <w:spacing w:after="0" w:line="5" w:lineRule="exact"/>
        <w:rPr>
          <w:sz w:val="20"/>
          <w:szCs w:val="20"/>
          <w:color w:val="auto"/>
        </w:rPr>
      </w:pPr>
    </w:p>
    <w:p>
      <w:pPr>
        <w:ind w:left="1800" w:right="1999"/>
        <w:spacing w:after="0" w:line="259" w:lineRule="auto"/>
        <w:rPr>
          <w:sz w:val="20"/>
          <w:szCs w:val="20"/>
          <w:color w:val="auto"/>
        </w:rPr>
      </w:pPr>
      <w:r>
        <w:rPr>
          <w:rFonts w:ascii="Times New Roman" w:cs="Times New Roman" w:eastAsia="Times New Roman" w:hAnsi="Times New Roman"/>
          <w:sz w:val="22"/>
          <w:szCs w:val="22"/>
          <w:b w:val="1"/>
          <w:bCs w:val="1"/>
          <w:color w:val="auto"/>
        </w:rPr>
        <w:t>TICO DEVELOPMENT PARTNERS HOLDINGS LLC TICO DEVELOPMENT PARTNERS LLC</w:t>
      </w:r>
    </w:p>
    <w:p>
      <w:pPr>
        <w:spacing w:after="0" w:line="200" w:lineRule="exact"/>
        <w:rPr>
          <w:sz w:val="20"/>
          <w:szCs w:val="20"/>
          <w:color w:val="auto"/>
        </w:rPr>
      </w:pPr>
    </w:p>
    <w:p>
      <w:pPr>
        <w:spacing w:after="0" w:line="2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-13970</wp:posOffset>
            </wp:positionV>
            <wp:extent cx="9601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0"/>
          <w:szCs w:val="20"/>
          <w:color w:val="auto"/>
        </w:rPr>
      </w:pPr>
    </w:p>
    <w:p>
      <w:pPr>
        <w:ind w:left="2020"/>
        <w:spacing w:after="0"/>
        <w:tabs>
          <w:tab w:leader="none" w:pos="2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2020"/>
        <w:spacing w:after="0"/>
        <w:tabs>
          <w:tab w:leader="none" w:pos="2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9019"/>
          </w:cols>
          <w:pgMar w:left="1440" w:top="1440" w:right="1440" w:bottom="1440" w:gutter="0" w:footer="0" w:header="0"/>
        </w:sectPr>
      </w:pPr>
    </w:p>
    <w:bookmarkStart w:id="122" w:name="page123"/>
    <w:bookmarkEnd w:id="122"/>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ATLANTIC PIPELINE HOLDINGS SRL</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Manager</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BERMUDA HOLDINGS LIMITED</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INTERNATIONAL HOLDINGS LIMITED*</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*incorporated under Bermuda law</w:t>
      </w:r>
    </w:p>
    <w:p>
      <w:pPr>
        <w:spacing w:after="0" w:line="2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NFE SHANNON HOLDINGS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SOUTH POWER TRADING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AMAUNET, S. DE R.L. DE C.V.</w:t>
      </w:r>
    </w:p>
    <w:p>
      <w:pPr>
        <w:spacing w:after="0" w:line="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NFENERGIA MEXICO, S. DE R.L. DE C.V.</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NFENERGIA GN DE BCS, S. DE R.L. DE C.V.</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PACIFICO LAP, S. DE R.L. DE C.V.</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NFE BCS MEXICO HOLDINGS, S. DE R.L. DE C.V.</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ALTAMIRA ONSHORE, S. DE R.L. DE C.V.</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MEXICO FLNG ONSHORE, S. DE R.L. DE C.V.</w:t>
      </w:r>
    </w:p>
    <w:p>
      <w:pPr>
        <w:spacing w:after="0" w:line="2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Legal Representative</w:t>
      </w:r>
    </w:p>
    <w:p>
      <w:pPr>
        <w:sectPr>
          <w:pgSz w:w="11900" w:h="16838" w:orient="portrait"/>
          <w:cols w:equalWidth="0" w:num="1">
            <w:col w:w="10139"/>
          </w:cols>
          <w:pgMar w:left="32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i w:val="1"/>
          <w:iCs w:val="1"/>
          <w:color w:val="auto"/>
        </w:rPr>
        <w:t>[Signature Page to Forbearance Agreement]</w:t>
      </w:r>
    </w:p>
    <w:p>
      <w:pPr>
        <w:sectPr>
          <w:pgSz w:w="11900" w:h="16838" w:orient="portrait"/>
          <w:cols w:equalWidth="0" w:num="1">
            <w:col w:w="10139"/>
          </w:cols>
          <w:pgMar w:left="320" w:top="1418" w:right="1440" w:bottom="1440" w:gutter="0" w:footer="0" w:header="0"/>
          <w:type w:val="continuous"/>
        </w:sectPr>
      </w:pPr>
    </w:p>
    <w:bookmarkStart w:id="123" w:name="page124"/>
    <w:bookmarkEnd w:id="123"/>
    <w:p>
      <w:pPr>
        <w:ind w:left="2120"/>
        <w:spacing w:after="0"/>
        <w:rPr>
          <w:sz w:val="20"/>
          <w:szCs w:val="20"/>
          <w:color w:val="auto"/>
        </w:rPr>
      </w:pPr>
      <w:r>
        <w:rPr>
          <w:rFonts w:ascii="Times New Roman" w:cs="Times New Roman" w:eastAsia="Times New Roman" w:hAnsi="Times New Roman"/>
          <w:sz w:val="22"/>
          <w:szCs w:val="22"/>
          <w:b w:val="1"/>
          <w:bCs w:val="1"/>
          <w:color w:val="auto"/>
        </w:rPr>
        <w:t>NFENERGÍA LLC</w:t>
      </w:r>
    </w:p>
    <w:p>
      <w:pPr>
        <w:spacing w:after="0" w:line="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SOLUCIONES DE ENERGIA LIMPIA PR LLC</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NFE POWER PR LLC</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ENCANTO EAST LLC</w:t>
      </w: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ENCANTO WEST LLC</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ENCANTO POWER WEST LLC</w:t>
      </w:r>
    </w:p>
    <w:p>
      <w:pPr>
        <w:spacing w:after="0" w:line="200" w:lineRule="exact"/>
        <w:rPr>
          <w:sz w:val="20"/>
          <w:szCs w:val="20"/>
          <w:color w:val="auto"/>
        </w:rPr>
      </w:pPr>
    </w:p>
    <w:p>
      <w:pPr>
        <w:spacing w:after="0" w:line="242" w:lineRule="exact"/>
        <w:rPr>
          <w:sz w:val="20"/>
          <w:szCs w:val="20"/>
          <w:color w:val="auto"/>
        </w:rPr>
      </w:pPr>
    </w:p>
    <w:tbl>
      <w:tblPr>
        <w:tblLayout w:type="fixed"/>
        <w:tblInd w:w="212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tcPr>
          <w:p>
            <w:pPr>
              <w:spacing w:after="0"/>
              <w:rPr>
                <w:sz w:val="22"/>
                <w:szCs w:val="22"/>
                <w:color w:val="auto"/>
              </w:rPr>
            </w:pPr>
          </w:p>
        </w:tc>
        <w:tc>
          <w:tcPr>
            <w:tcW w:w="2240" w:type="dxa"/>
            <w:vAlign w:val="bottom"/>
          </w:tcPr>
          <w:p>
            <w:pPr>
              <w:spacing w:after="0"/>
              <w:rPr>
                <w:sz w:val="22"/>
                <w:szCs w:val="22"/>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22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Christopher S. Guinta</w:t>
            </w: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2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b w:val="1"/>
          <w:bCs w:val="1"/>
          <w:color w:val="auto"/>
        </w:rPr>
        <w:t>NFE NICARAGUA DEVELOPMENT PARTNERS LLC, SUCURSAL NICARAGUA</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10060"/>
          </w:cols>
          <w:pgMar w:left="1440" w:top="1418" w:right="399" w:bottom="1440" w:gutter="0" w:footer="0" w:header="0"/>
        </w:sectPr>
      </w:pPr>
    </w:p>
    <w:bookmarkStart w:id="124" w:name="page125"/>
    <w:bookmarkEnd w:id="124"/>
    <w:p>
      <w:pPr>
        <w:ind w:left="2120"/>
        <w:spacing w:after="0"/>
        <w:rPr>
          <w:sz w:val="20"/>
          <w:szCs w:val="20"/>
          <w:color w:val="auto"/>
        </w:rPr>
      </w:pPr>
      <w:r>
        <w:rPr>
          <w:rFonts w:ascii="Times New Roman" w:cs="Times New Roman" w:eastAsia="Times New Roman" w:hAnsi="Times New Roman"/>
          <w:sz w:val="22"/>
          <w:szCs w:val="22"/>
          <w:b w:val="1"/>
          <w:bCs w:val="1"/>
          <w:color w:val="auto"/>
        </w:rPr>
        <w:t>NFE MEXICO HOLDINGS S.À R.L.</w:t>
      </w:r>
    </w:p>
    <w:p>
      <w:pPr>
        <w:spacing w:after="0" w:line="32" w:lineRule="exact"/>
        <w:rPr>
          <w:sz w:val="20"/>
          <w:szCs w:val="20"/>
          <w:color w:val="auto"/>
        </w:rPr>
      </w:pPr>
    </w:p>
    <w:p>
      <w:pPr>
        <w:ind w:left="2120"/>
        <w:spacing w:after="0" w:line="265" w:lineRule="auto"/>
        <w:rPr>
          <w:sz w:val="20"/>
          <w:szCs w:val="20"/>
          <w:color w:val="auto"/>
        </w:rPr>
      </w:pPr>
      <w:r>
        <w:rPr>
          <w:rFonts w:ascii="Times New Roman" w:cs="Times New Roman" w:eastAsia="Times New Roman" w:hAnsi="Times New Roman"/>
          <w:sz w:val="21"/>
          <w:szCs w:val="21"/>
          <w:color w:val="auto"/>
        </w:rPr>
        <w:t>A Luxembourg private limited liability company (</w:t>
      </w:r>
      <w:r>
        <w:rPr>
          <w:rFonts w:ascii="Times New Roman" w:cs="Times New Roman" w:eastAsia="Times New Roman" w:hAnsi="Times New Roman"/>
          <w:sz w:val="21"/>
          <w:szCs w:val="21"/>
          <w:i w:val="1"/>
          <w:iCs w:val="1"/>
          <w:color w:val="auto"/>
        </w:rPr>
        <w:t>société à responsabilité limitée</w:t>
      </w:r>
      <w:r>
        <w:rPr>
          <w:rFonts w:ascii="Times New Roman" w:cs="Times New Roman" w:eastAsia="Times New Roman" w:hAnsi="Times New Roman"/>
          <w:sz w:val="21"/>
          <w:szCs w:val="21"/>
          <w:color w:val="auto"/>
        </w:rPr>
        <w:t>), with registered office located at 12F, rue Guillaume Kroll, L-1882 Luxembourg, Grand Duchy of Luxembourg and registered with the Luxembourg trade and companies register (</w:t>
      </w:r>
      <w:r>
        <w:rPr>
          <w:rFonts w:ascii="Times New Roman" w:cs="Times New Roman" w:eastAsia="Times New Roman" w:hAnsi="Times New Roman"/>
          <w:sz w:val="21"/>
          <w:szCs w:val="21"/>
          <w:i w:val="1"/>
          <w:iCs w:val="1"/>
          <w:color w:val="auto"/>
        </w:rPr>
        <w:t>Registre 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Commerce et des Sociétés</w:t>
      </w:r>
      <w:r>
        <w:rPr>
          <w:rFonts w:ascii="Times New Roman" w:cs="Times New Roman" w:eastAsia="Times New Roman" w:hAnsi="Times New Roman"/>
          <w:sz w:val="21"/>
          <w:szCs w:val="21"/>
          <w:color w:val="auto"/>
        </w:rPr>
        <w:t>, Luxembourg) under number B267469, duly represented by: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2120"/>
        <w:spacing w:after="0"/>
        <w:tabs>
          <w:tab w:leader="none" w:pos="27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NFE MEXICO HOLDINGS PARENT S.À R.L.</w:t>
      </w:r>
    </w:p>
    <w:p>
      <w:pPr>
        <w:spacing w:after="0" w:line="32" w:lineRule="exact"/>
        <w:rPr>
          <w:sz w:val="20"/>
          <w:szCs w:val="20"/>
          <w:color w:val="auto"/>
        </w:rPr>
      </w:pPr>
    </w:p>
    <w:p>
      <w:pPr>
        <w:ind w:left="2120"/>
        <w:spacing w:after="0" w:line="260" w:lineRule="auto"/>
        <w:rPr>
          <w:sz w:val="20"/>
          <w:szCs w:val="20"/>
          <w:color w:val="auto"/>
        </w:rPr>
      </w:pPr>
      <w:r>
        <w:rPr>
          <w:rFonts w:ascii="Times New Roman" w:cs="Times New Roman" w:eastAsia="Times New Roman" w:hAnsi="Times New Roman"/>
          <w:sz w:val="21"/>
          <w:szCs w:val="21"/>
          <w:color w:val="auto"/>
        </w:rPr>
        <w:t>A Luxembourg private limited liability company (</w:t>
      </w:r>
      <w:r>
        <w:rPr>
          <w:rFonts w:ascii="Times New Roman" w:cs="Times New Roman" w:eastAsia="Times New Roman" w:hAnsi="Times New Roman"/>
          <w:sz w:val="21"/>
          <w:szCs w:val="21"/>
          <w:i w:val="1"/>
          <w:iCs w:val="1"/>
          <w:color w:val="auto"/>
        </w:rPr>
        <w:t>société à responsabilité limitée</w:t>
      </w:r>
      <w:r>
        <w:rPr>
          <w:rFonts w:ascii="Times New Roman" w:cs="Times New Roman" w:eastAsia="Times New Roman" w:hAnsi="Times New Roman"/>
          <w:sz w:val="21"/>
          <w:szCs w:val="21"/>
          <w:color w:val="auto"/>
        </w:rPr>
        <w:t>), with registered office located at 12F, rue Guillaume Kroll, L-1882 Luxembourg, Grand Duchy of Luxembourg and registered with the Luxembourg trade and companies register (</w:t>
      </w:r>
      <w:r>
        <w:rPr>
          <w:rFonts w:ascii="Times New Roman" w:cs="Times New Roman" w:eastAsia="Times New Roman" w:hAnsi="Times New Roman"/>
          <w:sz w:val="21"/>
          <w:szCs w:val="21"/>
          <w:i w:val="1"/>
          <w:iCs w:val="1"/>
          <w:color w:val="auto"/>
        </w:rPr>
        <w:t>Registre 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Commerce et des Sociétés</w:t>
      </w:r>
      <w:r>
        <w:rPr>
          <w:rFonts w:ascii="Times New Roman" w:cs="Times New Roman" w:eastAsia="Times New Roman" w:hAnsi="Times New Roman"/>
          <w:sz w:val="21"/>
          <w:szCs w:val="21"/>
          <w:color w:val="auto"/>
        </w:rPr>
        <w:t>, Luxembourg) under number B267494, duly represented by: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15" w:lineRule="exact"/>
        <w:rPr>
          <w:sz w:val="20"/>
          <w:szCs w:val="20"/>
          <w:color w:val="auto"/>
        </w:rPr>
      </w:pPr>
    </w:p>
    <w:p>
      <w:pPr>
        <w:ind w:left="2120"/>
        <w:spacing w:after="0"/>
        <w:tabs>
          <w:tab w:leader="none" w:pos="27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10080"/>
          </w:cols>
          <w:pgMar w:left="1440" w:top="1418" w:right="379" w:bottom="1440" w:gutter="0" w:footer="0" w:header="0"/>
        </w:sectPr>
      </w:pPr>
    </w:p>
    <w:bookmarkStart w:id="125" w:name="page126"/>
    <w:bookmarkEnd w:id="125"/>
    <w:p>
      <w:pPr>
        <w:ind w:left="2120"/>
        <w:spacing w:after="0"/>
        <w:rPr>
          <w:sz w:val="20"/>
          <w:szCs w:val="20"/>
          <w:color w:val="auto"/>
        </w:rPr>
      </w:pPr>
      <w:r>
        <w:rPr>
          <w:rFonts w:ascii="Times New Roman" w:cs="Times New Roman" w:eastAsia="Times New Roman" w:hAnsi="Times New Roman"/>
          <w:sz w:val="22"/>
          <w:szCs w:val="22"/>
          <w:b w:val="1"/>
          <w:bCs w:val="1"/>
          <w:color w:val="auto"/>
        </w:rPr>
        <w:t>NFE GLOBAL HOLDINGS LIMITED</w:t>
      </w:r>
    </w:p>
    <w:p>
      <w:pPr>
        <w:spacing w:after="0" w:line="200" w:lineRule="exact"/>
        <w:rPr>
          <w:sz w:val="20"/>
          <w:szCs w:val="20"/>
          <w:color w:val="auto"/>
        </w:rPr>
      </w:pPr>
    </w:p>
    <w:p>
      <w:pPr>
        <w:spacing w:after="0" w:line="2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2120"/>
        <w:spacing w:after="0"/>
        <w:tabs>
          <w:tab w:leader="none" w:pos="3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30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NFE INTERNATIONAL HOLDINGS*</w:t>
      </w:r>
    </w:p>
    <w:p>
      <w:pPr>
        <w:spacing w:after="0" w:line="200" w:lineRule="exact"/>
        <w:rPr>
          <w:sz w:val="20"/>
          <w:szCs w:val="20"/>
          <w:color w:val="auto"/>
        </w:rPr>
      </w:pPr>
    </w:p>
    <w:p>
      <w:pPr>
        <w:spacing w:after="0" w:line="2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2120"/>
        <w:spacing w:after="0"/>
        <w:tabs>
          <w:tab w:leader="none" w:pos="3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*incorporated under the laws of England and Wales</w:t>
      </w:r>
    </w:p>
    <w:p>
      <w:pPr>
        <w:spacing w:after="0" w:line="200" w:lineRule="exact"/>
        <w:rPr>
          <w:sz w:val="20"/>
          <w:szCs w:val="20"/>
          <w:color w:val="auto"/>
        </w:rPr>
      </w:pPr>
    </w:p>
    <w:p>
      <w:pPr>
        <w:spacing w:after="0" w:line="2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b w:val="1"/>
          <w:bCs w:val="1"/>
          <w:color w:val="auto"/>
        </w:rPr>
        <w:t>NFE MEXICO POWER HOLDINGS LIMITED</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9019"/>
          </w:cols>
          <w:pgMar w:left="1440" w:top="1418" w:right="1440" w:bottom="1440" w:gutter="0" w:footer="0" w:header="0"/>
        </w:sectPr>
      </w:pPr>
    </w:p>
    <w:bookmarkStart w:id="126" w:name="page127"/>
    <w:bookmarkEnd w:id="126"/>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NFE MEXICO TERMINAL HOLDINGS LIMITED</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2120"/>
        <w:spacing w:after="0"/>
        <w:tabs>
          <w:tab w:leader="none" w:pos="3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NFE UK HOLDINGS LIMITED</w:t>
      </w:r>
    </w:p>
    <w:p>
      <w:pPr>
        <w:spacing w:after="0" w:line="200" w:lineRule="exact"/>
        <w:rPr>
          <w:sz w:val="20"/>
          <w:szCs w:val="20"/>
          <w:color w:val="auto"/>
        </w:rPr>
      </w:pPr>
    </w:p>
    <w:p>
      <w:pPr>
        <w:spacing w:after="0" w:line="2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2120"/>
        <w:spacing w:after="0"/>
        <w:tabs>
          <w:tab w:leader="none" w:pos="3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NFE GP LLC</w:t>
      </w:r>
    </w:p>
    <w:p>
      <w:pPr>
        <w:spacing w:after="0" w:line="200" w:lineRule="exact"/>
        <w:rPr>
          <w:sz w:val="20"/>
          <w:szCs w:val="20"/>
          <w:color w:val="auto"/>
        </w:rPr>
      </w:pPr>
    </w:p>
    <w:p>
      <w:pPr>
        <w:spacing w:after="0" w:line="270" w:lineRule="exact"/>
        <w:rPr>
          <w:sz w:val="20"/>
          <w:szCs w:val="20"/>
          <w:color w:val="auto"/>
        </w:rPr>
      </w:pPr>
    </w:p>
    <w:tbl>
      <w:tblPr>
        <w:tblLayout w:type="fixed"/>
        <w:tblInd w:w="212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r>
      <w:tr>
        <w:trPr>
          <w:trHeight w:val="263"/>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23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Christopher S. Guinta</w:t>
            </w: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3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Chief Financial Officer</w:t>
            </w:r>
          </w:p>
        </w:tc>
      </w:tr>
    </w:tbl>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NFE INTERNATIONAL HOLDINGS 1 LIMITED</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15" w:lineRule="exact"/>
        <w:rPr>
          <w:sz w:val="20"/>
          <w:szCs w:val="20"/>
          <w:color w:val="auto"/>
        </w:rPr>
      </w:pPr>
    </w:p>
    <w:p>
      <w:pPr>
        <w:ind w:left="2120"/>
        <w:spacing w:after="0"/>
        <w:tabs>
          <w:tab w:leader="none" w:pos="3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NFE INTERNATIONAL HOLDINGS 2 LIMITED</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-13970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2120"/>
        <w:spacing w:after="0"/>
        <w:tabs>
          <w:tab w:leader="none" w:pos="3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ectPr>
          <w:pgSz w:w="11900" w:h="16838" w:orient="portrait"/>
          <w:cols w:equalWidth="0" w:num="1">
            <w:col w:w="9019"/>
          </w:cols>
          <w:pgMar w:left="144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Forbearance Agreement]</w:t>
      </w:r>
    </w:p>
    <w:p>
      <w:pPr>
        <w:sectPr>
          <w:pgSz w:w="11900" w:h="16838" w:orient="portrait"/>
          <w:cols w:equalWidth="0" w:num="1">
            <w:col w:w="9019"/>
          </w:cols>
          <w:pgMar w:left="1440" w:top="1418" w:right="1440" w:bottom="1440" w:gutter="0" w:footer="0" w:header="0"/>
          <w:type w:val="continuous"/>
        </w:sectPr>
      </w:pPr>
    </w:p>
    <w:bookmarkStart w:id="127" w:name="page128"/>
    <w:bookmarkEnd w:id="127"/>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[FORBEARING LENDER NAME]</w:t>
      </w:r>
      <w:r>
        <w:rPr>
          <w:rFonts w:ascii="Times New Roman" w:cs="Times New Roman" w:eastAsia="Times New Roman" w:hAnsi="Times New Roman"/>
          <w:sz w:val="22"/>
          <w:szCs w:val="22"/>
          <w:color w:val="auto"/>
        </w:rPr>
        <w:t>, as a Forbearing Lender</w:t>
      </w:r>
    </w:p>
    <w:p>
      <w:pPr>
        <w:spacing w:after="0" w:line="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-29210</wp:posOffset>
            </wp:positionV>
            <wp:extent cx="274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2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7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[Principal amount of Loans held: $[</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9899"/>
          </w:cols>
          <w:pgMar w:left="560" w:top="1440" w:right="1440" w:bottom="1440" w:gutter="0" w:footer="0" w:header="0"/>
        </w:sectPr>
      </w:pPr>
    </w:p>
    <w:bookmarkStart w:id="128" w:name="page129"/>
    <w:bookmarkEnd w:id="128"/>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MUFG BANK, LTD.</w:t>
      </w:r>
      <w:r>
        <w:rPr>
          <w:rFonts w:ascii="Times New Roman" w:cs="Times New Roman" w:eastAsia="Times New Roman" w:hAnsi="Times New Roman"/>
          <w:sz w:val="22"/>
          <w:szCs w:val="22"/>
          <w:color w:val="auto"/>
        </w:rPr>
        <w:t>, as Administrative Agent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14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2"/>
          <w:szCs w:val="22"/>
          <w:i w:val="1"/>
          <w:iCs w:val="1"/>
          <w:color w:val="auto"/>
        </w:rPr>
        <w:t>[Signature Page to Forbearance Agreement]</w:t>
      </w:r>
    </w:p>
    <w:p>
      <w:pPr>
        <w:sectPr>
          <w:pgSz w:w="11900" w:h="16838" w:orient="portrait"/>
          <w:cols w:equalWidth="0" w:num="1">
            <w:col w:w="10139"/>
          </w:cols>
          <w:pgMar w:left="320" w:top="1440" w:right="1440" w:bottom="1440" w:gutter="0" w:footer="0" w:header="0"/>
        </w:sectPr>
      </w:pPr>
    </w:p>
    <w:bookmarkStart w:id="129" w:name="page130"/>
    <w:bookmarkEnd w:id="129"/>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Schedule 1-A</w:t>
      </w:r>
    </w:p>
    <w:p>
      <w:pPr>
        <w:spacing w:after="0" w:line="251" w:lineRule="exact"/>
        <w:rPr>
          <w:sz w:val="20"/>
          <w:szCs w:val="20"/>
          <w:color w:val="auto"/>
        </w:rPr>
      </w:pPr>
    </w:p>
    <w:p>
      <w:pPr>
        <w:jc w:val="both"/>
        <w:ind w:left="328" w:hanging="328"/>
        <w:spacing w:after="0" w:line="253" w:lineRule="auto"/>
        <w:tabs>
          <w:tab w:leader="none" w:pos="3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deliver by January 20, 2026, an updated UK RP and chapter 11 cost-benefit analyses, providing comprehensive detailed analysis of, without limitation, benefits (expressed in specific dollar amounts or ranges by contract or issue) from contract rejection and impairment of unsecured claims (including with respect to litigation liabilities), estimated critical vendor liabilities, and quantified risks/costs of each scenario, each with detailed backup to determine the issue and reasoning behind the potential risk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Schedule 1-A</w:t>
      </w:r>
    </w:p>
    <w:p>
      <w:pPr>
        <w:sectPr>
          <w:pgSz w:w="11900" w:h="16838" w:orient="portrait"/>
          <w:cols w:equalWidth="0" w:num="1">
            <w:col w:w="10908"/>
          </w:cols>
          <w:pgMar w:left="652" w:top="1418" w:right="339" w:bottom="1440" w:gutter="0" w:footer="0" w:header="0"/>
        </w:sectPr>
      </w:pPr>
    </w:p>
    <w:bookmarkStart w:id="130" w:name="page131"/>
    <w:bookmarkEnd w:id="130"/>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Schedule 1-B</w:t>
      </w:r>
    </w:p>
    <w:p>
      <w:pPr>
        <w:spacing w:after="0" w:line="251" w:lineRule="exact"/>
        <w:rPr>
          <w:sz w:val="20"/>
          <w:szCs w:val="20"/>
          <w:color w:val="auto"/>
        </w:rPr>
      </w:pPr>
    </w:p>
    <w:p>
      <w:pPr>
        <w:ind w:left="328" w:hanging="328"/>
        <w:spacing w:after="0"/>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the following in response to remaining diligence requests no later than January 20, 2026:</w:t>
      </w:r>
    </w:p>
    <w:p>
      <w:pPr>
        <w:spacing w:after="0" w:line="246"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SG&amp;A Reduction Step-plan to achieve forecast run-rate</w:t>
      </w:r>
    </w:p>
    <w:p>
      <w:pPr>
        <w:spacing w:after="0" w:line="260"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Detailed schedule of estimated professional fees under each implementation scenario, broken out by advisor</w:t>
      </w:r>
    </w:p>
    <w:p>
      <w:pPr>
        <w:spacing w:after="0" w:line="246"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Weekly cash flow model for Brazil for the thirteen-week period commencing the week ended January 16, 2026</w:t>
      </w:r>
    </w:p>
    <w:p>
      <w:pPr>
        <w:spacing w:after="0" w:line="246" w:lineRule="exact"/>
        <w:rPr>
          <w:rFonts w:ascii="Times New Roman" w:cs="Times New Roman" w:eastAsia="Times New Roman" w:hAnsi="Times New Roman"/>
          <w:sz w:val="22"/>
          <w:szCs w:val="22"/>
          <w:color w:val="auto"/>
        </w:rPr>
      </w:pPr>
    </w:p>
    <w:p>
      <w:pPr>
        <w:ind w:left="968" w:hanging="320"/>
        <w:spacing w:after="0" w:line="271" w:lineRule="auto"/>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Detailed Brazil projection model on a monthly basis down to LFCF line, including breakout of working capital line items</w:t>
      </w:r>
    </w:p>
    <w:p>
      <w:pPr>
        <w:spacing w:after="0" w:line="184"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Annotated bridge of Q4 forecast vs initial forecast received at the time of restriction</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jc w:val="both"/>
        <w:ind w:left="328" w:hanging="328"/>
        <w:spacing w:after="0" w:line="248"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is required to inform its board of directors of a written request made pursuant to the New 2029 Notes Forbearance Agreement, the Term Loan A Forbearance Agreement or the Term Loan B Forbearance Agreement, the Company shall inform its board of directors of any substantially similar request of the Required Lenders (or the Administrative Agent at the direction of the Required Lenders) within the time period (if any) prescribed by the New 2029 Notes Forbearance Agreement, the Term Loan A Forbearance Agreement or the Term Loan B Forbearance Agreement,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Schedule 1-B</w:t>
      </w:r>
    </w:p>
    <w:p>
      <w:pPr>
        <w:sectPr>
          <w:pgSz w:w="11900" w:h="16838" w:orient="portrait"/>
          <w:cols w:equalWidth="0" w:num="1">
            <w:col w:w="10908"/>
          </w:cols>
          <w:pgMar w:left="652" w:top="141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FOURTEENTH AMENDMENT AGREEMENT</w:t>
      </w:r>
    </w:p>
    <w:p>
      <w:pPr>
        <w:spacing w:after="0" w:line="166" w:lineRule="exact"/>
        <w:rPr>
          <w:sz w:val="20"/>
          <w:szCs w:val="20"/>
          <w:color w:val="auto"/>
        </w:rPr>
      </w:pPr>
    </w:p>
    <w:p>
      <w:pPr>
        <w:jc w:val="both"/>
        <w:ind w:firstLine="272"/>
        <w:spacing w:after="0" w:line="268" w:lineRule="auto"/>
        <w:rPr>
          <w:sz w:val="20"/>
          <w:szCs w:val="20"/>
          <w:color w:val="auto"/>
        </w:rPr>
      </w:pPr>
      <w:r>
        <w:rPr>
          <w:rFonts w:ascii="Times New Roman" w:cs="Times New Roman" w:eastAsia="Times New Roman" w:hAnsi="Times New Roman"/>
          <w:sz w:val="20"/>
          <w:szCs w:val="20"/>
          <w:color w:val="auto"/>
        </w:rPr>
        <w:t>This FOURTEENTH AMENDMENT AGREEMENT (this “</w:t>
      </w:r>
      <w:r>
        <w:rPr>
          <w:rFonts w:ascii="Times New Roman" w:cs="Times New Roman" w:eastAsia="Times New Roman" w:hAnsi="Times New Roman"/>
          <w:sz w:val="20"/>
          <w:szCs w:val="20"/>
          <w:u w:val="single" w:color="auto"/>
          <w:color w:val="auto"/>
        </w:rPr>
        <w:t>Amendment Agreement</w:t>
      </w:r>
      <w:r>
        <w:rPr>
          <w:rFonts w:ascii="Times New Roman" w:cs="Times New Roman" w:eastAsia="Times New Roman" w:hAnsi="Times New Roman"/>
          <w:sz w:val="20"/>
          <w:szCs w:val="20"/>
          <w:color w:val="auto"/>
        </w:rPr>
        <w:t>”), dated as of March 19, 2026, is entered into by NEW FORTRESS ENERGY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of the Guarantors as of the date hereof, NATIXIS, NEW YORK BRANCH,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Collateral Agent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and each of the Lenders and Issuing Banks party to the LCA (as defined below).</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w:t>
      </w:r>
    </w:p>
    <w:p>
      <w:pPr>
        <w:spacing w:after="0" w:line="166" w:lineRule="exact"/>
        <w:rPr>
          <w:sz w:val="20"/>
          <w:szCs w:val="20"/>
          <w:color w:val="auto"/>
        </w:rPr>
      </w:pPr>
    </w:p>
    <w:p>
      <w:pPr>
        <w:jc w:val="both"/>
        <w:ind w:left="660" w:hanging="328"/>
        <w:spacing w:after="0" w:line="268" w:lineRule="auto"/>
        <w:tabs>
          <w:tab w:leader="none" w:pos="65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is made to that certain Letter of Credit and Reimbursement Agreement, dated as of July 16, 2021 (as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LCA</w:t>
      </w:r>
      <w:r>
        <w:rPr>
          <w:rFonts w:ascii="Times New Roman" w:cs="Times New Roman" w:eastAsia="Times New Roman" w:hAnsi="Times New Roman"/>
          <w:sz w:val="20"/>
          <w:szCs w:val="20"/>
          <w:color w:val="auto"/>
        </w:rPr>
        <w:t>”), by and among the Borrower, the Guarantors party thereto from time to time, Natixis, New York Branch, as administrative agent, Natixis, New York Branch, as collateral agent, the Lenders party thereto from time to time and the Issuing Banks party thereto from time to time.</w:t>
      </w:r>
    </w:p>
    <w:p>
      <w:pPr>
        <w:spacing w:after="0" w:line="20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Date is March 31, 2026;</w:t>
      </w:r>
    </w:p>
    <w:p>
      <w:pPr>
        <w:spacing w:after="0" w:line="26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Several Letters of Credit are currently scheduled to remain outstanding on and after the Maturity Date;</w:t>
      </w:r>
    </w:p>
    <w:p>
      <w:pPr>
        <w:spacing w:after="0" w:line="256" w:lineRule="exact"/>
        <w:rPr>
          <w:rFonts w:ascii="Times New Roman" w:cs="Times New Roman" w:eastAsia="Times New Roman" w:hAnsi="Times New Roman"/>
          <w:sz w:val="20"/>
          <w:szCs w:val="20"/>
          <w:color w:val="auto"/>
        </w:rPr>
      </w:pPr>
    </w:p>
    <w:p>
      <w:pPr>
        <w:jc w:val="both"/>
        <w:ind w:left="660" w:hanging="328"/>
        <w:spacing w:after="0" w:line="264" w:lineRule="auto"/>
        <w:tabs>
          <w:tab w:leader="none" w:pos="65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has informed the Lenders that certain Defaults or Events of Defaults listed on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 xml:space="preserve"> hereto have occurred (each a “</w:t>
      </w:r>
      <w:r>
        <w:rPr>
          <w:rFonts w:ascii="Times New Roman" w:cs="Times New Roman" w:eastAsia="Times New Roman" w:hAnsi="Times New Roman"/>
          <w:sz w:val="20"/>
          <w:szCs w:val="20"/>
          <w:u w:val="single" w:color="auto"/>
          <w:color w:val="auto"/>
        </w:rPr>
        <w:t>Specified Default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Specified Defaults</w:t>
      </w:r>
      <w:r>
        <w:rPr>
          <w:rFonts w:ascii="Times New Roman" w:cs="Times New Roman" w:eastAsia="Times New Roman" w:hAnsi="Times New Roman"/>
          <w:sz w:val="20"/>
          <w:szCs w:val="20"/>
          <w:color w:val="auto"/>
        </w:rPr>
        <w:t>”) and requested that the Lenders waive the Borrower’s compliance with the related terms and conditions of the LCA specifically referenced therein, in each case on the terms and subject to the conditions set forth in this Amendment Agreement and only during the period specified herein (such temporary waivers with respect to the Specified Defaults, collectively, the “</w:t>
      </w:r>
      <w:r>
        <w:rPr>
          <w:rFonts w:ascii="Times New Roman" w:cs="Times New Roman" w:eastAsia="Times New Roman" w:hAnsi="Times New Roman"/>
          <w:sz w:val="20"/>
          <w:szCs w:val="20"/>
          <w:u w:val="single" w:color="auto"/>
          <w:color w:val="auto"/>
        </w:rPr>
        <w:t>Requested Waivers</w:t>
      </w:r>
      <w:r>
        <w:rPr>
          <w:rFonts w:ascii="Times New Roman" w:cs="Times New Roman" w:eastAsia="Times New Roman" w:hAnsi="Times New Roman"/>
          <w:sz w:val="20"/>
          <w:szCs w:val="20"/>
          <w:color w:val="auto"/>
        </w:rPr>
        <w:t>”);</w:t>
      </w:r>
    </w:p>
    <w:p>
      <w:pPr>
        <w:spacing w:after="0" w:line="220" w:lineRule="exact"/>
        <w:rPr>
          <w:rFonts w:ascii="Times New Roman" w:cs="Times New Roman" w:eastAsia="Times New Roman" w:hAnsi="Times New Roman"/>
          <w:sz w:val="20"/>
          <w:szCs w:val="20"/>
          <w:color w:val="auto"/>
        </w:rPr>
      </w:pPr>
    </w:p>
    <w:p>
      <w:pPr>
        <w:ind w:left="660" w:hanging="328"/>
        <w:spacing w:after="0" w:line="283" w:lineRule="auto"/>
        <w:tabs>
          <w:tab w:leader="none" w:pos="65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Guarantors have also requested, and the Lenders, the Issuing Banks and the Administrative Agent have agreed, to extend the Maturity Date and amend certain provisions of the LCA as more fully set forth herein.</w:t>
      </w:r>
    </w:p>
    <w:p>
      <w:pPr>
        <w:spacing w:after="0" w:line="186" w:lineRule="exact"/>
        <w:rPr>
          <w:rFonts w:ascii="Times New Roman" w:cs="Times New Roman" w:eastAsia="Times New Roman" w:hAnsi="Times New Roman"/>
          <w:sz w:val="20"/>
          <w:szCs w:val="20"/>
          <w:color w:val="auto"/>
        </w:rPr>
      </w:pPr>
    </w:p>
    <w:p>
      <w:pPr>
        <w:jc w:val="both"/>
        <w:ind w:left="660" w:right="20" w:hanging="328"/>
        <w:spacing w:after="0" w:line="325" w:lineRule="auto"/>
        <w:tabs>
          <w:tab w:leader="none" w:pos="64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9.1 of the LCA provides that the Lenders, the Administrative Agent, the Issuing Banks, the Borrower and each other Loan Party who is a party to the LCA may modify, amend and supplement the LCA in the manner set forth in this Amendment Agreement.</w:t>
      </w:r>
    </w:p>
    <w:p>
      <w:pPr>
        <w:spacing w:after="0" w:line="5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mutual covenants set forth in this Amendment Agreement and for valuable consideration received, the parties hereto agree as follows:</w:t>
      </w:r>
    </w:p>
    <w:p>
      <w:pPr>
        <w:spacing w:after="0" w:line="8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Defined Terms; Interpretation; Etc.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terms used and not defined herein shall have the meanings assigned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terms in the LCA. Section 1.2 (</w:t>
      </w:r>
      <w:r>
        <w:rPr>
          <w:rFonts w:ascii="Times New Roman" w:cs="Times New Roman" w:eastAsia="Times New Roman" w:hAnsi="Times New Roman"/>
          <w:sz w:val="20"/>
          <w:szCs w:val="20"/>
          <w:i w:val="1"/>
          <w:iCs w:val="1"/>
          <w:color w:val="auto"/>
        </w:rPr>
        <w:t>Other Definitional Provisions; Rules of Construction</w:t>
      </w:r>
      <w:r>
        <w:rPr>
          <w:rFonts w:ascii="Times New Roman" w:cs="Times New Roman" w:eastAsia="Times New Roman" w:hAnsi="Times New Roman"/>
          <w:sz w:val="20"/>
          <w:szCs w:val="20"/>
          <w:color w:val="auto"/>
        </w:rPr>
        <w:t xml:space="preserve">) of the LCA apply to this Amendment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Requested Waivers with respect to the Specified Defaults.</w:t>
      </w:r>
    </w:p>
    <w:p>
      <w:pPr>
        <w:spacing w:after="0" w:line="166" w:lineRule="exact"/>
        <w:rPr>
          <w:sz w:val="20"/>
          <w:szCs w:val="20"/>
          <w:color w:val="auto"/>
        </w:rPr>
      </w:pPr>
    </w:p>
    <w:p>
      <w:pPr>
        <w:ind w:firstLine="8"/>
        <w:spacing w:after="0" w:line="297" w:lineRule="auto"/>
        <w:tabs>
          <w:tab w:leader="none" w:pos="63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from and after the date hereof, upon the satisfaction of the conditions precedent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and the occurrence of the Fourteenth Amendment Agreement Effective Date (as defined below), the LCA is hereby amended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20" w:right="339" w:bottom="1440" w:gutter="0" w:footer="0" w:header="0"/>
        </w:sectPr>
      </w:pPr>
    </w:p>
    <w:bookmarkStart w:id="132" w:name="page133"/>
    <w:bookmarkEnd w:id="132"/>
    <w:p>
      <w:pPr>
        <w:ind w:left="980" w:hanging="324"/>
        <w:spacing w:after="0" w:line="283" w:lineRule="auto"/>
        <w:tabs>
          <w:tab w:leader="none" w:pos="979"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set forth in Section 1.1 of the LCA are hereby deleted and replaced in their entirety, respectively, as follows:</w:t>
      </w:r>
    </w:p>
    <w:p>
      <w:pPr>
        <w:spacing w:after="0" w:line="200"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LCs</w:t>
      </w:r>
      <w:r>
        <w:rPr>
          <w:rFonts w:ascii="Times New Roman" w:cs="Times New Roman" w:eastAsia="Times New Roman" w:hAnsi="Times New Roman"/>
          <w:sz w:val="20"/>
          <w:szCs w:val="20"/>
          <w:color w:val="auto"/>
        </w:rPr>
        <w:t xml:space="preserve">”: collectively, the Letters of Credit existing on the Fourteenth Amendment Agreement Effective Date and described in </w:t>
      </w:r>
      <w:r>
        <w:rPr>
          <w:rFonts w:ascii="Times New Roman" w:cs="Times New Roman" w:eastAsia="Times New Roman" w:hAnsi="Times New Roman"/>
          <w:sz w:val="20"/>
          <w:szCs w:val="20"/>
          <w:b w:val="1"/>
          <w:bCs w:val="1"/>
          <w:u w:val="single" w:color="auto"/>
          <w:color w:val="auto"/>
        </w:rPr>
        <w:t>Schedule 1.2</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1300" w:hanging="320"/>
        <w:spacing w:after="0" w:line="297" w:lineRule="auto"/>
        <w:tabs>
          <w:tab w:leader="none" w:pos="1288"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September 15, 2026;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date is not a Business Day, then the Maturity Date shall be the immediately preceding Business Day.”</w:t>
      </w:r>
    </w:p>
    <w:p>
      <w:pPr>
        <w:spacing w:after="0" w:line="17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are hereby added to Section 1.1 of the LCA (in the appropriate alphabetical order):</w:t>
      </w:r>
    </w:p>
    <w:p>
      <w:pPr>
        <w:spacing w:after="0" w:line="256" w:lineRule="exact"/>
        <w:rPr>
          <w:rFonts w:ascii="Times New Roman" w:cs="Times New Roman" w:eastAsia="Times New Roman" w:hAnsi="Times New Roman"/>
          <w:sz w:val="20"/>
          <w:szCs w:val="20"/>
          <w:color w:val="auto"/>
        </w:rPr>
      </w:pPr>
    </w:p>
    <w:p>
      <w:pPr>
        <w:jc w:val="both"/>
        <w:ind w:left="1300" w:hanging="320"/>
        <w:spacing w:after="0" w:line="275" w:lineRule="auto"/>
        <w:tabs>
          <w:tab w:leader="none" w:pos="1288"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Fourteenth Amendment Agreement</w:t>
      </w:r>
      <w:r>
        <w:rPr>
          <w:rFonts w:ascii="Times New Roman" w:cs="Times New Roman" w:eastAsia="Times New Roman" w:hAnsi="Times New Roman"/>
          <w:sz w:val="20"/>
          <w:szCs w:val="20"/>
          <w:color w:val="auto"/>
        </w:rPr>
        <w:t>”: that certain Fourteenth Amendment Agreement, dated as of the Fourteenth Amendment Agreement Effective Date, by and among the Borrower, the Guarantors party thereto, the Lenders and Issuing Banks party thereto, the Administrative Agent and the Collateral Agent.”</w:t>
      </w:r>
    </w:p>
    <w:p>
      <w:pPr>
        <w:spacing w:after="0" w:line="19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Fourteenth Amendment Agreement Effective Date</w:t>
      </w:r>
      <w:r>
        <w:rPr>
          <w:rFonts w:ascii="Times New Roman" w:cs="Times New Roman" w:eastAsia="Times New Roman" w:hAnsi="Times New Roman"/>
          <w:sz w:val="19"/>
          <w:szCs w:val="19"/>
          <w:color w:val="auto"/>
        </w:rPr>
        <w:t>”: has the meaning specified in the Fourteenth Amendment Agreement.”</w:t>
      </w:r>
    </w:p>
    <w:p>
      <w:pPr>
        <w:spacing w:after="0" w:line="281" w:lineRule="exact"/>
        <w:rPr>
          <w:rFonts w:ascii="Times New Roman" w:cs="Times New Roman" w:eastAsia="Times New Roman" w:hAnsi="Times New Roman"/>
          <w:sz w:val="19"/>
          <w:szCs w:val="19"/>
          <w:color w:val="auto"/>
        </w:rPr>
      </w:pPr>
    </w:p>
    <w:p>
      <w:pPr>
        <w:ind w:right="20" w:firstLine="8"/>
        <w:spacing w:after="0" w:line="283" w:lineRule="auto"/>
        <w:tabs>
          <w:tab w:leader="none" w:pos="6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Fourteenth Amendment Agreement Effective Date, Schedule 1.2 to the LCA is hereby deleted and replaced in its entirety by Schedule 1.2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jc w:val="both"/>
        <w:ind w:firstLine="8"/>
        <w:spacing w:after="0" w:line="265" w:lineRule="auto"/>
        <w:tabs>
          <w:tab w:leader="none" w:pos="6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9.1 of the LCA, and subject to the terms and conditions set forth herein, each of the Lenders severally (and neither jointly nor jointly and severally) hereby agrees to the Requested Waivers solely for the purpose of satisfying the applicable conditions precedent under Section 4.2 of the LCA in connection with the issuance of any Letters of Credit during the period from the Fourteenth Amendment Agreement Effective Date until April 3, 2026. The parties hereto hereby expressly acknowledge and agree that the Requested Waivers shall only apply to the Specified Defaults and shall automatically (without any further action) terminate and cease to be effective upon April 3, 2026.</w:t>
      </w:r>
    </w:p>
    <w:p>
      <w:pPr>
        <w:spacing w:after="0" w:line="109" w:lineRule="exact"/>
        <w:rPr>
          <w:rFonts w:ascii="Times New Roman" w:cs="Times New Roman" w:eastAsia="Times New Roman" w:hAnsi="Times New Roman"/>
          <w:sz w:val="20"/>
          <w:szCs w:val="20"/>
          <w:color w:val="auto"/>
        </w:rPr>
      </w:pPr>
    </w:p>
    <w:p>
      <w:pPr>
        <w:jc w:val="both"/>
        <w:ind w:firstLine="8"/>
        <w:spacing w:after="0" w:line="262" w:lineRule="auto"/>
        <w:tabs>
          <w:tab w:leader="none" w:pos="6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this Amendment Agreement to the contrary, (a) (i) no other provisions of the LCA and (ii) none of the exhibits or schedules to the LCA are intended to or shall be amended or otherwise modified or affected by this Amendment Agreement, except as expressly set forth herein and (b) all Letters of Credit issued and Obligations incurred or arising under the LCA and the other Loan Documents which are outstanding on the Fourteenth Amendment Agreement Effective Date shall continue as Letters of Credit and Obligations under (and shall be governed by the terms of) the LCA and the other Loan Documents. Neither this Amendment Agreement or the LCA is intended to, and neither shall, constitute a novation.</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The Borrower and each Guarantor hereby represent and warrant to the Administrative Agent, Lenders and Issuing Banks that, as of the Fourteenth Amendment Agreement Effective Date (both immediately before and immediately after the effectiveness of this Amendment Agreement) (A) this Amendment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3" w:name="page134"/>
    <w:bookmarkEnd w:id="133"/>
    <w:p>
      <w:pPr>
        <w:jc w:val="both"/>
        <w:spacing w:after="0" w:line="275" w:lineRule="auto"/>
        <w:rPr>
          <w:sz w:val="20"/>
          <w:szCs w:val="20"/>
          <w:color w:val="auto"/>
        </w:rPr>
      </w:pPr>
      <w:r>
        <w:rPr>
          <w:rFonts w:ascii="Times New Roman" w:cs="Times New Roman" w:eastAsia="Times New Roman" w:hAnsi="Times New Roman"/>
          <w:sz w:val="19"/>
          <w:szCs w:val="19"/>
          <w:color w:val="auto"/>
        </w:rPr>
        <w:t>or law); (B) no Reimbursement Obligations are outstanding; (C) after giving effect to the Requested Waivers contemplated hereby, no Default or Event of Default has occurred and is continuing or will result from the transactions contemplated by this Amendment Agreement;</w:t>
      </w:r>
    </w:p>
    <w:p>
      <w:pPr>
        <w:spacing w:after="0" w:line="1" w:lineRule="exact"/>
        <w:rPr>
          <w:sz w:val="20"/>
          <w:szCs w:val="20"/>
          <w:color w:val="auto"/>
        </w:rPr>
      </w:pPr>
    </w:p>
    <w:p>
      <w:pPr>
        <w:jc w:val="both"/>
        <w:ind w:firstLine="8"/>
        <w:spacing w:after="0" w:line="258" w:lineRule="auto"/>
        <w:tabs>
          <w:tab w:leader="none" w:pos="3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Exposure is less than the Total LC Limit; (E) none of the execution, delivery and performance of this Amendment Agreement or the transactions contemplated hereby or in the LCA will contravene, violate or result in a breach of or default under any Loan Party’s Organizational Documents, the Existing Indentures, the Revolving Credit Agreement, the agreements or instruments relating to any other Equal Priority Obligations, any Requirement of Law or any Contractual Obligation of any Loan Party after giving effect to the RSA (as defined below),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(F) the requested extension to the Maturity Date and other amendments contemplated herein are permitted by the terms of any Equal Priority Obligations after giving effect to the RSA; (G) the Collateral Account is subject to the control of the Collateral Agent; (H) except as provided for in the Security Agreement and Control Agreement as security for the Obligations, none of the Grantors has pledged, collaterally assigned, mortgaged, transferred or granted to any other Person a continuing security interest in any of its right in, and title and interest to and under, all or any portion of the Collateral Account Collateral (as defined in the Security Agreement); (I) the Collateral Account (together with any cash and Cash Equivalents therein) is not Shared Collateral or “Single Lien Collateral” (as defined in the Equal Priority Intercreditor Agreement); (J) the amount on deposit in the Collateral Account is not less than the Required Cash Level (and the Borrower shall have provided or caused to be provided to the Administrative Agent evidence reasonably satisfactory to the Administrative Agent of the same);</w:t>
      </w:r>
    </w:p>
    <w:p>
      <w:pPr>
        <w:spacing w:after="0" w:line="4" w:lineRule="exact"/>
        <w:rPr>
          <w:rFonts w:ascii="Times New Roman" w:cs="Times New Roman" w:eastAsia="Times New Roman" w:hAnsi="Times New Roman"/>
          <w:sz w:val="20"/>
          <w:szCs w:val="20"/>
          <w:color w:val="auto"/>
        </w:rPr>
      </w:pPr>
    </w:p>
    <w:p>
      <w:pPr>
        <w:jc w:val="both"/>
        <w:ind w:firstLine="8"/>
        <w:spacing w:after="0" w:line="271" w:lineRule="auto"/>
        <w:tabs>
          <w:tab w:leader="none" w:pos="3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Letters of Credit and any Reimbursement Obligations with respect thereto constitute Equal Priority Obligations; (L) other than the Specified Exclusions (as defined below) and after giving effect to the Requested Waivers contemplated hereby,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such materiality qualifier shall not be applicable to any representations and warranties that already are qualified or modified by materiality in the text hereof; (M) the execution, delivery and performance by the Borrower and each Guarantor of this Amendment Agreement, does not and will not conflict with or result in any breach or contravention of, or the creation of any Lien (except for Permitted Liens) under, or require any payment to be made under (x) any material contractual obligation to which the Borrower is a party or affecting the Borrower or the properties of the Borrower or any Subsidiary or (y) any material order, injunction, writ or decree of any Governmental Authority or any arbitral award to which the Borrower or any Subsidiary or its property is subject, or violate any applicable Law in any material respect; (N) there has been no change in the information provided in the most recently delivered Beneficial Ownership Certification that would result in a change to the list of beneficial owners identified therein;</w:t>
      </w:r>
    </w:p>
    <w:p>
      <w:pPr>
        <w:spacing w:after="0" w:line="9" w:lineRule="exact"/>
        <w:rPr>
          <w:rFonts w:ascii="Times New Roman" w:cs="Times New Roman" w:eastAsia="Times New Roman" w:hAnsi="Times New Roman"/>
          <w:sz w:val="19"/>
          <w:szCs w:val="19"/>
          <w:color w:val="auto"/>
        </w:rPr>
      </w:pPr>
    </w:p>
    <w:p>
      <w:pPr>
        <w:jc w:val="both"/>
        <w:ind w:firstLine="8"/>
        <w:spacing w:after="0" w:line="260" w:lineRule="auto"/>
        <w:tabs>
          <w:tab w:leader="none" w:pos="32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executed version of the RSA, dated March 17, 2026, delivered to the Administrative Agent and Lenders is true, correct and current in all respects as of the time delivered; and (P) the representations and warranties of the Company Parties (as defined in the RSA) set forth in Section 5 of the RSA were true and correct (without giving effect to any “materiality,” “material adverse effect,” or similar qualifiers contained therein) in all material respects as of the Agreement Effective Date (as defined in the RSA) (or as of such other date expressly set forth in such representation or warranty). “</w:t>
      </w:r>
      <w:r>
        <w:rPr>
          <w:rFonts w:ascii="Times New Roman" w:cs="Times New Roman" w:eastAsia="Times New Roman" w:hAnsi="Times New Roman"/>
          <w:sz w:val="20"/>
          <w:szCs w:val="20"/>
          <w:u w:val="single" w:color="auto"/>
          <w:color w:val="auto"/>
        </w:rPr>
        <w:t>Specified Exclusions</w:t>
      </w:r>
      <w:r>
        <w:rPr>
          <w:rFonts w:ascii="Times New Roman" w:cs="Times New Roman" w:eastAsia="Times New Roman" w:hAnsi="Times New Roman"/>
          <w:sz w:val="20"/>
          <w:szCs w:val="20"/>
          <w:color w:val="auto"/>
        </w:rPr>
        <w:t>” means the representations and warranties set forth in Section 3.7 of the LCA (solely as it relates to the Specified Defaults and any other Specified Default (as defined in the RSA)), the representations and warranties set forth in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4" w:name="page135"/>
    <w:bookmarkEnd w:id="134"/>
    <w:p>
      <w:pPr>
        <w:jc w:val="both"/>
        <w:spacing w:after="0" w:line="283" w:lineRule="auto"/>
        <w:rPr>
          <w:sz w:val="20"/>
          <w:szCs w:val="20"/>
          <w:color w:val="auto"/>
        </w:rPr>
      </w:pPr>
      <w:r>
        <w:rPr>
          <w:rFonts w:ascii="Times New Roman" w:cs="Times New Roman" w:eastAsia="Times New Roman" w:hAnsi="Times New Roman"/>
          <w:sz w:val="20"/>
          <w:szCs w:val="20"/>
          <w:color w:val="auto"/>
        </w:rPr>
        <w:t>Documents as it relates to matters of solvency and the ability of the Loan Parties to pay their debts as they become due, and the matters referred to in that certain Form 8-K filed by the Borrower on March 17, 2026.</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Conditions to Amendment Agreement</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Amendment Agreement shall become effective without any further action or consent by any party, as of the date hereof (the “</w:t>
      </w:r>
      <w:r>
        <w:rPr>
          <w:rFonts w:ascii="Times New Roman" w:cs="Times New Roman" w:eastAsia="Times New Roman" w:hAnsi="Times New Roman"/>
          <w:sz w:val="20"/>
          <w:szCs w:val="20"/>
          <w:u w:val="single" w:color="auto"/>
          <w:color w:val="auto"/>
        </w:rPr>
        <w:t>Fourteenth Amendment Agreement Effective Date</w:t>
      </w:r>
      <w:r>
        <w:rPr>
          <w:rFonts w:ascii="Times New Roman" w:cs="Times New Roman" w:eastAsia="Times New Roman" w:hAnsi="Times New Roman"/>
          <w:sz w:val="20"/>
          <w:szCs w:val="20"/>
          <w:color w:val="auto"/>
        </w:rPr>
        <w:t>”), upon the satisfaction of each of the following conditions, in each case in form and substance reasonably satisfactory to the Administrative Agent:</w:t>
      </w:r>
    </w:p>
    <w:p>
      <w:pPr>
        <w:spacing w:after="0" w:line="215" w:lineRule="exact"/>
        <w:rPr>
          <w:sz w:val="20"/>
          <w:szCs w:val="20"/>
          <w:color w:val="auto"/>
        </w:rPr>
      </w:pPr>
    </w:p>
    <w:p>
      <w:pPr>
        <w:ind w:left="660" w:hanging="328"/>
        <w:spacing w:after="0" w:line="283" w:lineRule="auto"/>
        <w:tabs>
          <w:tab w:leader="none" w:pos="6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Agreement</w:t>
      </w:r>
      <w:r>
        <w:rPr>
          <w:rFonts w:ascii="Times New Roman" w:cs="Times New Roman" w:eastAsia="Times New Roman" w:hAnsi="Times New Roman"/>
          <w:sz w:val="20"/>
          <w:szCs w:val="20"/>
          <w:color w:val="auto"/>
        </w:rPr>
        <w:t>. The Administrative Agent shall have received from the Borrower, each other Loan Party, and each of the Lenders and Issuing Banks a duly executed counterpart of this Amendment Agreement.</w:t>
      </w:r>
    </w:p>
    <w:p>
      <w:pPr>
        <w:spacing w:after="0" w:line="186" w:lineRule="exact"/>
        <w:rPr>
          <w:rFonts w:ascii="Times New Roman" w:cs="Times New Roman" w:eastAsia="Times New Roman" w:hAnsi="Times New Roman"/>
          <w:sz w:val="20"/>
          <w:szCs w:val="20"/>
          <w:color w:val="auto"/>
        </w:rPr>
      </w:pPr>
    </w:p>
    <w:p>
      <w:pPr>
        <w:jc w:val="both"/>
        <w:ind w:left="660" w:hanging="328"/>
        <w:spacing w:after="0" w:line="262" w:lineRule="auto"/>
        <w:tabs>
          <w:tab w:leader="none" w:pos="65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Responsible Officer’s Certificate</w:t>
      </w:r>
      <w:r>
        <w:rPr>
          <w:rFonts w:ascii="Times New Roman" w:cs="Times New Roman" w:eastAsia="Times New Roman" w:hAnsi="Times New Roman"/>
          <w:sz w:val="20"/>
          <w:szCs w:val="20"/>
          <w:color w:val="auto"/>
        </w:rPr>
        <w:t>. The Administrative Agent shall have received a certificate of a Responsible Officer of the Borrower and each Guarantor, certifying (A) as to copies of the Organizational Documents of such Person, together with all amendments thereto, (B) as to a copy of the resolutions or written consents of such Person authorizing (1) the execution and delivery of this Amendment Agreement and the incurrence or confirmation of the Obligations under the Loan Documents and the transactions contemplated by the Loan Documents to which such Person is or will be a party, and (2) the execution, delivery and performance by such Person of each Loan Document to which such Person is or will be a party (including, but not limited to, Notices of LC Activity and LC Applications) and the execution and delivery of the other documents to be delivered by such Person in connection herewith and therewith and (C) the names and true signatures of the representatives of such Person authorized to sign each Loan Document (in the case of the Borrower, including all notices under the LCA and the other Loan Documents) to which such Person is or will be a party and the other documents to be executed and delivered by such Person in connection herewith and therewith, together with evidence of the incumbency of such authorized officers.</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5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The Administrative Agent shall have received, in form and substance reasonably acceptable to the Administrative Agent, (i) a legal opinion of Skadden, Arps, Slate Meagher &amp; Flom LLP, United States counsel to the Borrower and its Subsidiaries dated the date hereof and addressed to the Secured Parties and (ii) legal opinions of applicable local counsel to the Borrower dated the date hereof and addressed to the Administrative Agent and the Lenders party hereto.</w:t>
      </w:r>
    </w:p>
    <w:p>
      <w:pPr>
        <w:spacing w:after="0" w:line="201"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Representations and Warranties</w:t>
      </w:r>
      <w:r>
        <w:rPr>
          <w:rFonts w:ascii="Times New Roman" w:cs="Times New Roman" w:eastAsia="Times New Roman" w:hAnsi="Times New Roman"/>
          <w:sz w:val="20"/>
          <w:szCs w:val="20"/>
          <w:color w:val="auto"/>
        </w:rPr>
        <w:t xml:space="preserve">. As of the Fourteenth Amendment Agreement Effective Date, after giving effect to this Amendment Agreement: (i) no Default or Event of Default shall have occurred and be continuing (other than the Specified Defaults) and (ii) other than the Specified Exclusions (which apply solely with respect to clauses (C), (E), (F), (J), (L) and (M) of Section 3) and after giving effect to the Requested Waivers contemplated hereby, the representations and warranties contained herein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such materiality qualifier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20"/>
          <w:szCs w:val="20"/>
          <w:color w:val="auto"/>
        </w:rPr>
        <w:t>not be applicable to any representations and warranties that already are qualified or modified by materiality in the text hereof.</w:t>
      </w:r>
    </w:p>
    <w:p>
      <w:pPr>
        <w:spacing w:after="0" w:line="256" w:lineRule="exact"/>
        <w:rPr>
          <w:sz w:val="20"/>
          <w:szCs w:val="20"/>
          <w:color w:val="auto"/>
        </w:rPr>
      </w:pPr>
    </w:p>
    <w:p>
      <w:pPr>
        <w:ind w:left="660" w:hanging="328"/>
        <w:spacing w:after="0" w:line="297" w:lineRule="auto"/>
        <w:tabs>
          <w:tab w:leader="none" w:pos="65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Officer’s Certificate</w:t>
      </w:r>
      <w:r>
        <w:rPr>
          <w:rFonts w:ascii="Times New Roman" w:cs="Times New Roman" w:eastAsia="Times New Roman" w:hAnsi="Times New Roman"/>
          <w:sz w:val="20"/>
          <w:szCs w:val="20"/>
          <w:color w:val="auto"/>
        </w:rPr>
        <w:t>. The Administrative Agent shall have received a certificate signed by a Responsible Officer of the Borrower, certifying that the conditions set forth in Section 4(D) are satisfied.</w:t>
      </w:r>
    </w:p>
    <w:p>
      <w:pPr>
        <w:spacing w:after="0" w:line="173" w:lineRule="exact"/>
        <w:rPr>
          <w:rFonts w:ascii="Times New Roman" w:cs="Times New Roman" w:eastAsia="Times New Roman" w:hAnsi="Times New Roman"/>
          <w:sz w:val="20"/>
          <w:szCs w:val="20"/>
          <w:color w:val="auto"/>
        </w:rPr>
      </w:pPr>
    </w:p>
    <w:p>
      <w:pPr>
        <w:jc w:val="both"/>
        <w:ind w:left="660" w:hanging="328"/>
        <w:spacing w:after="0" w:line="275" w:lineRule="auto"/>
        <w:tabs>
          <w:tab w:leader="none" w:pos="64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The Administrative Agent shall have received a perfection certificate delivered on the Fourteenth Amendment Agreement Effective Date for each Loan Party (substantially in the form of the perfection certificate delivered on the Eleventh Amendment Agreement Effective Date).</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5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Borrower and Guarantors shall use commercially reasonable efforts to provide the Administrative Agent a report of financing statement, tax, judgment or other customary lien searches performed in Barbados, Bermuda, Ireland, Jamaica, Mexico, Puerto Rico and the United States with respect to the Loan Parties existing in such jurisdictions, and such report shall show no Liens on such Loan Parties’ Property (except as permitted by Section 6.6 of the LCA) and otherwise be in form and substance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searches not so provided on or prior to the Fourteenth Amendment Effective Date shall be provided within the time periods specified on Annex B hereto (subject to extensions and exceptions as reasonably agreed by the Administrative Agent).</w:t>
      </w:r>
    </w:p>
    <w:p>
      <w:pPr>
        <w:spacing w:after="0" w:line="206"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5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 and Expenses</w:t>
      </w:r>
      <w:r>
        <w:rPr>
          <w:rFonts w:ascii="Times New Roman" w:cs="Times New Roman" w:eastAsia="Times New Roman" w:hAnsi="Times New Roman"/>
          <w:sz w:val="20"/>
          <w:szCs w:val="20"/>
          <w:color w:val="auto"/>
        </w:rPr>
        <w:t>. The Borrower shall have paid or caused to be paid on or before the Fourteenth Amendment Agreement Effective Date (i) all fees, costs and expenses then payable to the Agents, Issuing Banks and Lenders in accordance with Section 9.5 of the LCA or any other agreement among the Borrower and such Lender in respect of this Amendment Agreement and the transactions contemplated in connection herewith, including those specified in the Fee Letters, and (ii) the charges of any Platform and all reasonable and documented out-of-pocket expenses incurred by the Administrative Agent, its legal counsel, or RPA Advisors, LLC as Lender Advisor (to the extent provided for in the LCA) in connection with the preparation and negotiation of this Amendment Agreement that, in each case, have been invoiced at least one (1) Business Day prior to the Fourteenth Amendment Agreement Effective Date.</w:t>
      </w:r>
    </w:p>
    <w:p>
      <w:pPr>
        <w:spacing w:after="0" w:line="211"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5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The Administrative Agent and Lenders shall have received the Fee Letter entered into in connection with this Amendment Agreement, executed and delivered by a duly authorized officer or signatory of each party thereto.</w:t>
      </w:r>
    </w:p>
    <w:p>
      <w:pPr>
        <w:spacing w:after="0" w:line="200" w:lineRule="exact"/>
        <w:rPr>
          <w:rFonts w:ascii="Times New Roman" w:cs="Times New Roman" w:eastAsia="Times New Roman" w:hAnsi="Times New Roman"/>
          <w:sz w:val="20"/>
          <w:szCs w:val="20"/>
          <w:color w:val="auto"/>
        </w:rPr>
      </w:pPr>
    </w:p>
    <w:p>
      <w:pPr>
        <w:jc w:val="both"/>
        <w:ind w:left="660" w:hanging="328"/>
        <w:spacing w:after="0" w:line="262" w:lineRule="auto"/>
        <w:tabs>
          <w:tab w:leader="none" w:pos="65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Loan Documents</w:t>
      </w:r>
      <w:r>
        <w:rPr>
          <w:rFonts w:ascii="Times New Roman" w:cs="Times New Roman" w:eastAsia="Times New Roman" w:hAnsi="Times New Roman"/>
          <w:sz w:val="20"/>
          <w:szCs w:val="20"/>
          <w:color w:val="auto"/>
        </w:rPr>
        <w:t xml:space="preserve">. Subject to any post-closing time frames specified and other applicable limitations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 the Administrative Agent shall have received for each applicable Foreign Subsidiary that is a Guarantor on the Fourteenth Amendment Agreement Effective Date any required amendments, amendments and restatements, supplements or other modifications to the Security Documents in respect of the Collateral in the relevant jurisdictions outside of the United States, and all filings and other documents required by such Security Documents to create, amend or perfect (to the extent required by such Security Documents) the security interests for the benefit of the Secured Parties in the Collateral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6" w:name="page137"/>
    <w:bookmarkEnd w:id="136"/>
    <w:p>
      <w:pPr>
        <w:jc w:val="both"/>
        <w:ind w:left="660" w:hanging="328"/>
        <w:spacing w:after="0" w:line="268" w:lineRule="auto"/>
        <w:tabs>
          <w:tab w:leader="none" w:pos="6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RSA</w:t>
      </w:r>
      <w:r>
        <w:rPr>
          <w:rFonts w:ascii="Times New Roman" w:cs="Times New Roman" w:eastAsia="Times New Roman" w:hAnsi="Times New Roman"/>
          <w:sz w:val="20"/>
          <w:szCs w:val="20"/>
          <w:color w:val="auto"/>
        </w:rPr>
        <w:t>. The Administrative Agent and Lenders shall have received a true and correct executed version of that certain Restructuring Support Agreement, by and between the Borrower, certain of its directly and indirectly owned subsidiaries, Kroll Issuer Services Limited, as information agent, and certain holders or lenders of, or the investment advisor or manager to a beneficial holder(s) or lender(s) of, the Group’s debt party thereto (together with the Restructuring Term Sheet (as defined therein), the “</w:t>
      </w:r>
      <w:r>
        <w:rPr>
          <w:rFonts w:ascii="Times New Roman" w:cs="Times New Roman" w:eastAsia="Times New Roman" w:hAnsi="Times New Roman"/>
          <w:sz w:val="20"/>
          <w:szCs w:val="20"/>
          <w:u w:val="single" w:color="auto"/>
          <w:color w:val="auto"/>
        </w:rPr>
        <w:t>RSA</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The Administrative Agent is hereby authorized and directed to declare this Amendment Agreement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the waiver of such conditions as permitted in Section 9.1 of the LCA. Such declaration shall be final, conclusive and binding upon all parties to the LCA for all purposes.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u w:val="single" w:color="auto"/>
          <w:color w:val="auto"/>
        </w:rPr>
        <w:t>Effect of Amendment</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jc w:val="both"/>
        <w:ind w:firstLine="656"/>
        <w:spacing w:after="0" w:line="268"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from and after) the Fourteenth Amendment Agreement Effective Date, (i) each reference in the LCA to “this Agreement”, “hereunder”, “hereof” or words of like import referring to the LCA, and each reference in each other Loan Document to “the LCA Agreement”, “the LCA”, “the Credit Agreement”, “thereunder”, “thereof” or words of like import referring to the LCA, shall mean and be a reference to the LCA as amended by this Amendment Agreement and (ii) this Amendment Agreement shall be deemed to be a Loan Document for all purposes of the LCA and the other Loan Documents.</w:t>
      </w:r>
    </w:p>
    <w:p>
      <w:pPr>
        <w:spacing w:after="0" w:line="200"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in this Amendment Agreement, the LCA and other Loan Documents are and shall continue to be in full force and effect and are hereby in all respects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The execution, delivery and effectiveness of this Amendment Agreement shall not operate as a waiver of any Default or Event Default, or of any right, power or remedy of the Secured Parties under any of the Loan Documents, constitute a waiver of any provision of any of the Loan Documents or serve to affect a novation of any of the Loan Documents or Obligations.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Additional Affirmations and Agreements.</w:t>
      </w:r>
    </w:p>
    <w:p>
      <w:pPr>
        <w:spacing w:after="0" w:line="166" w:lineRule="exact"/>
        <w:rPr>
          <w:sz w:val="20"/>
          <w:szCs w:val="20"/>
          <w:color w:val="auto"/>
        </w:rPr>
      </w:pPr>
    </w:p>
    <w:p>
      <w:pPr>
        <w:ind w:firstLine="656"/>
        <w:spacing w:after="0" w:line="297"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Issuing Bank that executes this Amendment Agreement on or prior to the Fourteenth Amendment Agreement Effective Date hereby consents to this Amendment Agreement.</w:t>
      </w:r>
    </w:p>
    <w:p>
      <w:pPr>
        <w:spacing w:after="0" w:line="173"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authorizes and directs the Administrative Agent and the Collateral Agent to execute this Amendment Agreement (together with any other agreements, appointments or acknowledgements incidental thereto or required in connection therewith).</w:t>
      </w:r>
    </w:p>
    <w:p>
      <w:pPr>
        <w:spacing w:after="0" w:line="18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further covenants and agrees (individually and on their own behalf) as follows:</w:t>
      </w:r>
    </w:p>
    <w:p>
      <w:pPr>
        <w:spacing w:after="0" w:line="161" w:lineRule="exact"/>
        <w:rPr>
          <w:rFonts w:ascii="Times New Roman" w:cs="Times New Roman" w:eastAsia="Times New Roman" w:hAnsi="Times New Roman"/>
          <w:sz w:val="20"/>
          <w:szCs w:val="20"/>
          <w:color w:val="auto"/>
        </w:rPr>
      </w:pPr>
    </w:p>
    <w:p>
      <w:pPr>
        <w:jc w:val="both"/>
        <w:ind w:left="660" w:right="20" w:firstLine="644"/>
        <w:spacing w:after="0" w:line="275" w:lineRule="auto"/>
        <w:tabs>
          <w:tab w:leader="none" w:pos="180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proceeding under any Bankruptcy Law of any Loan Party, whether voluntary or involuntary, the Secured Parties (A) shall have allowed claims against such Loan Party in respect of the Obligations of such Loan Party, which claims shall constitute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7" w:name="page138"/>
    <w:bookmarkEnd w:id="137"/>
    <w:p>
      <w:pPr>
        <w:ind w:left="660"/>
        <w:spacing w:after="0" w:line="283" w:lineRule="auto"/>
        <w:rPr>
          <w:sz w:val="20"/>
          <w:szCs w:val="20"/>
          <w:color w:val="auto"/>
        </w:rPr>
      </w:pPr>
      <w:r>
        <w:rPr>
          <w:rFonts w:ascii="Times New Roman" w:cs="Times New Roman" w:eastAsia="Times New Roman" w:hAnsi="Times New Roman"/>
          <w:sz w:val="20"/>
          <w:szCs w:val="20"/>
          <w:color w:val="auto"/>
        </w:rPr>
        <w:t>claims to the extent of the value of the Secured Parties’ interest in the Collateral, and (B) shall be entitled to adequate protection of their interest in the Collateral to the extent of any diminution in the value thereof;</w:t>
      </w:r>
    </w:p>
    <w:p>
      <w:pPr>
        <w:spacing w:after="0" w:line="92" w:lineRule="exact"/>
        <w:rPr>
          <w:sz w:val="20"/>
          <w:szCs w:val="20"/>
          <w:color w:val="auto"/>
        </w:rPr>
      </w:pPr>
    </w:p>
    <w:p>
      <w:pPr>
        <w:jc w:val="both"/>
        <w:ind w:left="660" w:firstLine="644"/>
        <w:spacing w:after="0" w:line="260" w:lineRule="auto"/>
        <w:tabs>
          <w:tab w:leader="none" w:pos="187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inconsistent with the Equal Priority Intercreditor Agreement and NFE Financing Equal Priority Intercreditor Agreement, the Loan Parties shall consult reasonably and in good faith with the Administrative Agent and the Lenders in an effort to reach mutually satisfactory arrangements concerning the use of cash Collateral and/or DIP Financing (as defined in the Equal Priority Intercreditor Agreement) in such proceeding, including, without limitation, by (A) considering in good faith any proposal by the Administrative Agent or Lenders to provide DIP Financing in such proceeding, and (B) exercising commercially reasonable best efforts to obtain court approval of, and any consents of third parties (including, without limitation, any consents that may be required pursuant to the Equal Priority Intercreditor Agreement and the NFE Financing Equal Priority Intercreditor Agreement) necessary for, any such mutually satisfactory financing arrangements to which the Loan Parties and the Administrative Agent and Lenders (as applicable) may agree; provided, for the avoidance of doubt, that the Loan Parties acknowledge that nothing in this Section 7(c) shall be construed to require the Administrative Agent or any Lender to provide DIP Financing to any Loan Party or provide consent to the use of cash Collateral (and any Lender’s decision with respect thereto may be made in its sole and absolute discretion), and that all rights of the Administrative Agent and Lenders are expressly reserved with respect to any DIP Financing and use of cash Collateral; and</w:t>
      </w:r>
    </w:p>
    <w:p>
      <w:pPr>
        <w:spacing w:after="0" w:line="122" w:lineRule="exact"/>
        <w:rPr>
          <w:rFonts w:ascii="Times New Roman" w:cs="Times New Roman" w:eastAsia="Times New Roman" w:hAnsi="Times New Roman"/>
          <w:sz w:val="20"/>
          <w:szCs w:val="20"/>
          <w:color w:val="auto"/>
        </w:rPr>
      </w:pPr>
    </w:p>
    <w:p>
      <w:pPr>
        <w:ind w:left="660" w:firstLine="644"/>
        <w:spacing w:after="0" w:line="297" w:lineRule="auto"/>
        <w:tabs>
          <w:tab w:leader="none" w:pos="184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further acknowledges that it and the other parties hereto have been induced to enter into this Amendment Agreement and the LCA by, among other things, the mutual agreements in this clause (c).</w:t>
      </w:r>
    </w:p>
    <w:p>
      <w:pPr>
        <w:spacing w:after="0" w:line="173"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7 shall survive the termination of this Amendment Agreement, the payment in full in cash of the Obligations and the expiration or termination of all Letters of Credit and continue to be effective or be reinstated, as the case may be, if at any time any payment of any of the Obligations is rescinded or must otherwise be returned by the Secured Parties or any other Person upon the insolvency, bankruptcy or reorganization of the Borrower or otherwise, all as though such payment had not been made.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b w:val="1"/>
          <w:bCs w:val="1"/>
          <w:color w:val="auto"/>
        </w:rPr>
        <w:t>.</w:t>
      </w:r>
    </w:p>
    <w:p>
      <w:pPr>
        <w:spacing w:after="0" w:line="146" w:lineRule="exact"/>
        <w:rPr>
          <w:sz w:val="20"/>
          <w:szCs w:val="20"/>
          <w:color w:val="auto"/>
        </w:rPr>
      </w:pPr>
    </w:p>
    <w:p>
      <w:pPr>
        <w:jc w:val="both"/>
        <w:ind w:firstLine="656"/>
        <w:spacing w:after="0" w:line="263"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AGREEMENT AND THE RIGHTS AND OBLIGATIONS OF THE PARTIES UNDER THIS AMENDMENT AGREEMENT SHALL BE GOVERNED BY, AND CONSTRUED AND INTERPRETED IN ACCORDANCE WITH, THE LAW OF THE STATE OF NEW YORK.</w:t>
      </w:r>
    </w:p>
    <w:p>
      <w:pPr>
        <w:spacing w:after="0" w:line="1" w:lineRule="exact"/>
        <w:rPr>
          <w:rFonts w:ascii="Times New Roman" w:cs="Times New Roman" w:eastAsia="Times New Roman" w:hAnsi="Times New Roman"/>
          <w:sz w:val="20"/>
          <w:szCs w:val="20"/>
          <w:color w:val="auto"/>
        </w:rPr>
      </w:pPr>
    </w:p>
    <w:p>
      <w:pPr>
        <w:jc w:val="both"/>
        <w:ind w:firstLine="656"/>
        <w:spacing w:after="0" w:line="260" w:lineRule="auto"/>
        <w:tabs>
          <w:tab w:leader="none" w:pos="12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Guarantor hereby forever waives, releases, remises and discharges each of the Agents, the Account Bank,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Fourteenth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20"/>
          <w:szCs w:val="20"/>
          <w:color w:val="auto"/>
        </w:rPr>
        <w:t>Agreement Effective Date against any such Releasee which concerns, directly or indirectly, the Borrower or any Guarantor, the negotiation and execution of this Amendment Agreement, the LCA (as amended hereby) or any other Loan Document, or any acts or omissions of any such Releasee relating to the Borrower, any Guarantor, the LCA (as amended hereby) or any other Loan Document, in each case, to the extent pertaining to facts, events or circumstances existing on or prior to (but not after) the Fourteenth Amendment Agreement Effective Date (the “</w:t>
      </w:r>
      <w:r>
        <w:rPr>
          <w:rFonts w:ascii="Times New Roman" w:cs="Times New Roman" w:eastAsia="Times New Roman" w:hAnsi="Times New Roman"/>
          <w:sz w:val="20"/>
          <w:szCs w:val="20"/>
          <w:u w:val="single" w:color="auto"/>
          <w:color w:val="auto"/>
        </w:rPr>
        <w:t>Released Claims</w:t>
      </w:r>
      <w:r>
        <w:rPr>
          <w:rFonts w:ascii="Times New Roman" w:cs="Times New Roman" w:eastAsia="Times New Roman" w:hAnsi="Times New Roman"/>
          <w:sz w:val="20"/>
          <w:szCs w:val="20"/>
          <w:color w:val="auto"/>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Amendment Agreement, the LCA, and the other Loan Documents and payment in full of all Obligations in respect thereof and is in addition to any other release or covenant not to sue in favor of the Releasees.</w:t>
      </w:r>
    </w:p>
    <w:p>
      <w:pPr>
        <w:spacing w:after="0" w:line="212" w:lineRule="exact"/>
        <w:rPr>
          <w:sz w:val="20"/>
          <w:szCs w:val="20"/>
          <w:color w:val="auto"/>
        </w:rPr>
      </w:pPr>
    </w:p>
    <w:p>
      <w:pPr>
        <w:jc w:val="both"/>
        <w:ind w:firstLine="656"/>
        <w:spacing w:after="0" w:line="268" w:lineRule="auto"/>
        <w:tabs>
          <w:tab w:leader="none" w:pos="128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Agreement may be executed by one or more of the parties hereto on any number of separate counterparts, and all of said counterparts taken together shall be deemed to constitute one and the same instrument. Delivery of an executed signature page of this Amendment Agreement by email or facsimile or other electronic transmission shall be effective as delivery of a manually executed counterpart hereof.</w:t>
      </w:r>
    </w:p>
    <w:p>
      <w:pPr>
        <w:spacing w:after="0" w:line="214" w:lineRule="exact"/>
        <w:rPr>
          <w:rFonts w:ascii="Times New Roman" w:cs="Times New Roman" w:eastAsia="Times New Roman" w:hAnsi="Times New Roman"/>
          <w:sz w:val="20"/>
          <w:szCs w:val="20"/>
          <w:color w:val="auto"/>
        </w:rPr>
      </w:pPr>
    </w:p>
    <w:p>
      <w:pPr>
        <w:jc w:val="both"/>
        <w:ind w:firstLine="656"/>
        <w:spacing w:after="0" w:line="262"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9.5 of the LCA (as amended hereby), the Borrower shall pay or reimburse the Administrative Agent and the Collateral Agent for all their reasonable and documented out-of-pocket costs and expenses incurred in connection with the development, preparation and execution of, this Amendment Agreement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Administrative Agent and the Collateral Agent and one local counsel to the Administrative Agent and the Collateral Agent, taken as a whole, in any relevant jurisdiction and the charges of any Platform.</w:t>
      </w:r>
    </w:p>
    <w:p>
      <w:pPr>
        <w:spacing w:after="0" w:line="221"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Agreement is a “Loan Document” as defined and described in the LCA (as amended hereby), and all of the terms and provisions of the LCA (as amended hereby) relating to Loan Documents shall apply hereto.</w:t>
      </w:r>
    </w:p>
    <w:p>
      <w:pPr>
        <w:spacing w:after="0" w:line="186" w:lineRule="exact"/>
        <w:rPr>
          <w:rFonts w:ascii="Times New Roman" w:cs="Times New Roman" w:eastAsia="Times New Roman" w:hAnsi="Times New Roman"/>
          <w:sz w:val="20"/>
          <w:szCs w:val="20"/>
          <w:color w:val="auto"/>
        </w:rPr>
      </w:pPr>
    </w:p>
    <w:p>
      <w:pPr>
        <w:ind w:firstLine="656"/>
        <w:spacing w:after="0" w:line="297" w:lineRule="auto"/>
        <w:tabs>
          <w:tab w:leader="none" w:pos="129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Sections 9.12 and 9.16 of the LCA (as amended hereby) are hereby incorporated by reference, mutatis mutandis, as if set forth in full herein.</w:t>
      </w:r>
    </w:p>
    <w:p>
      <w:pPr>
        <w:spacing w:after="0" w:line="173"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this Amendment Agreement are used for convenience of reference only, are not part of this Amendment Agreement and shall not affect the construction of, or be taken into consideration in interpreting, this Amendment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4924-8055-8998 v.4.1 - MSW</w:t>
      </w:r>
    </w:p>
    <w:p>
      <w:pPr>
        <w:sectPr>
          <w:pgSz w:w="11900" w:h="16838" w:orient="portrait"/>
          <w:cols w:equalWidth="0" w:num="1">
            <w:col w:w="11240"/>
          </w:cols>
          <w:pgMar w:left="320" w:top="1426" w:right="339" w:bottom="1440" w:gutter="0" w:footer="0" w:header="0"/>
        </w:sectPr>
      </w:pPr>
    </w:p>
    <w:bookmarkStart w:id="139" w:name="page140"/>
    <w:bookmarkEnd w:id="139"/>
    <w:p>
      <w:pPr>
        <w:ind w:firstLine="340"/>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Agreement to be duly executed and delivered by their respective duly authorized officers as of the day and year first above written.</w:t>
      </w:r>
    </w:p>
    <w:p>
      <w:pPr>
        <w:spacing w:after="0" w:line="37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NEW FORTRESS ENERGY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2514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47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NEW FORTRESS INTERMEDIATE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251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47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NFE ATLANTIC HOLDINGS LLC</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2514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4740"/>
        <w:spacing w:after="0"/>
        <w:tabs>
          <w:tab w:leader="none" w:pos="54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47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AMERICAN ENERGY LOGISTICS SOLUTIONS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ATLANTIC ENERGY HOLDINGS LLC</w:t>
      </w:r>
    </w:p>
    <w:p>
      <w:pPr>
        <w:spacing w:after="0" w:line="1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DEVELOPMENT HOLDINGS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GPF HOLDINGS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GPF PARTNERS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POWER HOLDINGS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POWER PARTNERS LLC</w:t>
      </w:r>
    </w:p>
    <w:p>
      <w:pPr>
        <w:spacing w:after="0" w:line="1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TRANSPORT HOLDINGS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BRADFORD COUNTY TRANSPORT PARTNERS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ISLAND LNG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LA DEVELOPMENT HOLDINGS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LA REAL ESTATE HOLDINGS LLC</w:t>
      </w:r>
    </w:p>
    <w:p>
      <w:pPr>
        <w:spacing w:after="0" w:line="1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LA REAL ESTATE PARTNERS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LNG HOLDINGS LLC</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NFE FLNG 2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11240"/>
          </w:cols>
          <w:pgMar w:left="320" w:top="1426" w:right="339" w:bottom="1440" w:gutter="0" w:footer="0" w:header="0"/>
        </w:sectPr>
      </w:pPr>
    </w:p>
    <w:bookmarkStart w:id="140" w:name="page141"/>
    <w:bookmarkEnd w:id="140"/>
    <w:p>
      <w:pPr>
        <w:ind w:left="1800"/>
        <w:spacing w:after="0"/>
        <w:rPr>
          <w:sz w:val="20"/>
          <w:szCs w:val="20"/>
          <w:color w:val="auto"/>
        </w:rPr>
      </w:pPr>
      <w:r>
        <w:rPr>
          <w:rFonts w:ascii="Times New Roman" w:cs="Times New Roman" w:eastAsia="Times New Roman" w:hAnsi="Times New Roman"/>
          <w:sz w:val="20"/>
          <w:szCs w:val="20"/>
          <w:b w:val="1"/>
          <w:bCs w:val="1"/>
          <w:color w:val="auto"/>
        </w:rPr>
        <w:t>NEW FORTRESS ENERGY MARKETING LLC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NEW FORTRESS ENERGY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ANDROMEDA CHARTERING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ANGOLA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BCS HOLDINGS (A)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BCS HOLDINGS (B) LLC</w:t>
      </w:r>
    </w:p>
    <w:p>
      <w:pPr>
        <w:spacing w:after="0" w:line="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EQUIPMENT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EQUIPMENT PARTNERS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GHANA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GHANA PARTNERS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GLOBAL SHIPPING LLC</w:t>
      </w:r>
    </w:p>
    <w:p>
      <w:pPr>
        <w:spacing w:after="0" w:line="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GRAND SHIPPING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HONDURAS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INTERNATIONAL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INTERNATIONAL SHIPPING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ISO HOLDINGS LLC</w:t>
      </w:r>
    </w:p>
    <w:p>
      <w:pPr>
        <w:spacing w:after="0" w:line="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ISO PARTNERS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JAMAICA GP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LOGISTICS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MANAGEMENT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auto"/>
        </w:rPr>
        <w:t>NFE NICARAGUA DEVELOPMENT PARTNERS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-10795</wp:posOffset>
            </wp:positionV>
            <wp:extent cx="3771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Name: Christopher S. Guinta</w:t>
      </w:r>
    </w:p>
    <w:p>
      <w:pPr>
        <w:spacing w:after="0" w:line="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NORTH TRADING LLC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PIONEER 1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PIONEER 2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PIONEER 3 LLC</w:t>
      </w:r>
    </w:p>
    <w:p>
      <w:pPr>
        <w:spacing w:after="0" w:line="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PLANT DEVELOPMENT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FLNG 1 ISSUER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SOUTH POWER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SUB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TRANSPORT HOLDINGS LLC</w:t>
      </w:r>
    </w:p>
    <w:p>
      <w:pPr>
        <w:spacing w:after="0" w:line="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TRANSPORT PARTNERS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NFE US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PA DEVELOPMENT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PA REAL ESTATE HOLDINGS LLC</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PA REAL ESTATE PARTNERS LLC</w:t>
      </w:r>
    </w:p>
    <w:p>
      <w:pPr>
        <w:spacing w:after="0" w:line="13" w:lineRule="exact"/>
        <w:rPr>
          <w:sz w:val="20"/>
          <w:szCs w:val="20"/>
          <w:color w:val="auto"/>
        </w:rPr>
      </w:pPr>
    </w:p>
    <w:p>
      <w:pPr>
        <w:ind w:left="1800" w:right="2439"/>
        <w:spacing w:after="0" w:line="253" w:lineRule="auto"/>
        <w:rPr>
          <w:sz w:val="20"/>
          <w:szCs w:val="20"/>
          <w:color w:val="auto"/>
        </w:rPr>
      </w:pPr>
      <w:r>
        <w:rPr>
          <w:rFonts w:ascii="Times New Roman" w:cs="Times New Roman" w:eastAsia="Times New Roman" w:hAnsi="Times New Roman"/>
          <w:sz w:val="20"/>
          <w:szCs w:val="20"/>
          <w:b w:val="1"/>
          <w:bCs w:val="1"/>
          <w:color w:val="auto"/>
        </w:rPr>
        <w:t>TICO DEVELOPMENT PARTNERS HOLDINGS LLC TICO DEVELOPMENT PARTNERS LLC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09" w:right="1440" w:bottom="1440" w:gutter="0" w:footer="0" w:header="0"/>
        </w:sectPr>
      </w:pPr>
    </w:p>
    <w:bookmarkStart w:id="141" w:name="page142"/>
    <w:bookmarkEnd w:id="141"/>
    <w:p>
      <w:pPr>
        <w:spacing w:after="0" w:line="200" w:lineRule="exact"/>
        <w:rPr>
          <w:sz w:val="20"/>
          <w:szCs w:val="20"/>
          <w:color w:val="auto"/>
        </w:rPr>
      </w:pPr>
    </w:p>
    <w:p>
      <w:pPr>
        <w:spacing w:after="0" w:line="21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-10795</wp:posOffset>
            </wp:positionV>
            <wp:extent cx="8794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0">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8" w:lineRule="exact"/>
        <w:rPr>
          <w:sz w:val="20"/>
          <w:szCs w:val="20"/>
          <w:color w:val="auto"/>
        </w:rPr>
      </w:pPr>
    </w:p>
    <w:p>
      <w:pPr>
        <w:ind w:left="2000"/>
        <w:spacing w:after="0"/>
        <w:tabs>
          <w:tab w:leader="none" w:pos="2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000"/>
        <w:spacing w:after="0"/>
        <w:tabs>
          <w:tab w:leader="none" w:pos="2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NFE LCA Fourteenth Amendment Agreement</w:t>
      </w:r>
    </w:p>
    <w:p>
      <w:pPr>
        <w:sectPr>
          <w:pgSz w:w="11900" w:h="16838" w:orient="portrait"/>
          <w:cols w:equalWidth="0" w:num="1">
            <w:col w:w="9019"/>
          </w:cols>
          <w:pgMar w:left="1440" w:top="1440" w:right="1440" w:bottom="1440" w:gutter="0" w:footer="0" w:header="0"/>
        </w:sectPr>
      </w:pPr>
    </w:p>
    <w:bookmarkStart w:id="142" w:name="page143"/>
    <w:bookmarkEnd w:id="142"/>
    <w:p>
      <w:pPr>
        <w:ind w:left="2120"/>
        <w:spacing w:after="0"/>
        <w:rPr>
          <w:sz w:val="20"/>
          <w:szCs w:val="20"/>
          <w:color w:val="auto"/>
        </w:rPr>
      </w:pPr>
      <w:r>
        <w:rPr>
          <w:rFonts w:ascii="Times New Roman" w:cs="Times New Roman" w:eastAsia="Times New Roman" w:hAnsi="Times New Roman"/>
          <w:sz w:val="20"/>
          <w:szCs w:val="20"/>
          <w:b w:val="1"/>
          <w:bCs w:val="1"/>
          <w:color w:val="auto"/>
        </w:rPr>
        <w:t>ATLANTIC PIPELINE HOLDINGS SRL</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BERMUDA HOLDINGS LIMITED</w:t>
      </w:r>
    </w:p>
    <w:p>
      <w:pPr>
        <w:spacing w:after="0" w:line="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b w:val="1"/>
          <w:bCs w:val="1"/>
          <w:color w:val="auto"/>
        </w:rPr>
        <w:t>NFE INTERNATIONAL HOLDINGS LIMITED*</w:t>
      </w:r>
    </w:p>
    <w:p>
      <w:pPr>
        <w:spacing w:after="0" w:line="200" w:lineRule="exact"/>
        <w:rPr>
          <w:sz w:val="20"/>
          <w:szCs w:val="20"/>
          <w:color w:val="auto"/>
        </w:rPr>
      </w:pPr>
    </w:p>
    <w:p>
      <w:pPr>
        <w:spacing w:after="0" w:line="2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*incorporated under Bermuda law</w:t>
      </w:r>
    </w:p>
    <w:p>
      <w:pPr>
        <w:spacing w:after="0" w:line="2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NICARAGUA HOLDINGS LLC</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SHANNON HOLDINGS LIMITED</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SOUTH POWER TRADING LIMITED</w:t>
      </w:r>
    </w:p>
    <w:p>
      <w:pPr>
        <w:spacing w:after="0" w:line="200" w:lineRule="exact"/>
        <w:rPr>
          <w:sz w:val="20"/>
          <w:szCs w:val="20"/>
          <w:color w:val="auto"/>
        </w:rPr>
      </w:pPr>
    </w:p>
    <w:p>
      <w:pPr>
        <w:spacing w:after="0" w:line="2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09" w:right="1440" w:bottom="1440" w:gutter="0" w:footer="0" w:header="0"/>
        </w:sectPr>
      </w:pPr>
    </w:p>
    <w:bookmarkStart w:id="143" w:name="page144"/>
    <w:bookmarkEnd w:id="143"/>
    <w:p>
      <w:pPr>
        <w:ind w:left="2120"/>
        <w:spacing w:after="0"/>
        <w:rPr>
          <w:sz w:val="20"/>
          <w:szCs w:val="20"/>
          <w:color w:val="auto"/>
        </w:rPr>
      </w:pPr>
      <w:r>
        <w:rPr>
          <w:rFonts w:ascii="Times New Roman" w:cs="Times New Roman" w:eastAsia="Times New Roman" w:hAnsi="Times New Roman"/>
          <w:sz w:val="20"/>
          <w:szCs w:val="20"/>
          <w:b w:val="1"/>
          <w:bCs w:val="1"/>
          <w:color w:val="auto"/>
        </w:rPr>
        <w:t>AMAUNET, S. DE R.L. DE C.V.</w:t>
      </w:r>
    </w:p>
    <w:p>
      <w:pPr>
        <w:spacing w:after="0" w:line="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NFENERGIA MEXICO, S. DE R.L. DE C.V.</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NFENERGIA GN DE BCS, S. DE R.L. DE C.V.</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PACIFICO LAP, S. DE R.L. DE C.V.</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b w:val="1"/>
          <w:bCs w:val="1"/>
          <w:color w:val="auto"/>
        </w:rPr>
        <w:t>NFE BCS MEXICO HOLDINGS, S. DE R.L. DE C.V.</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ALTAMIRA ONSHORE, S. DE R.L. DE C.V.</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MEXICO FLNG ONSHORE, S. DE R.L. DE C.V.</w:t>
      </w:r>
    </w:p>
    <w:p>
      <w:pPr>
        <w:spacing w:after="0" w:line="196"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241"/>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Christopher S. Guinta</w:t>
            </w:r>
          </w:p>
        </w:tc>
      </w:tr>
      <w:tr>
        <w:trPr>
          <w:trHeight w:val="25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02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09" w:right="1440" w:bottom="1440" w:gutter="0" w:footer="0" w:header="0"/>
        </w:sectPr>
      </w:pPr>
    </w:p>
    <w:bookmarkStart w:id="144" w:name="page145"/>
    <w:bookmarkEnd w:id="144"/>
    <w:p>
      <w:pPr>
        <w:ind w:left="2120"/>
        <w:spacing w:after="0"/>
        <w:rPr>
          <w:sz w:val="20"/>
          <w:szCs w:val="20"/>
          <w:color w:val="auto"/>
        </w:rPr>
      </w:pPr>
      <w:r>
        <w:rPr>
          <w:rFonts w:ascii="Times New Roman" w:cs="Times New Roman" w:eastAsia="Times New Roman" w:hAnsi="Times New Roman"/>
          <w:sz w:val="20"/>
          <w:szCs w:val="20"/>
          <w:b w:val="1"/>
          <w:bCs w:val="1"/>
          <w:color w:val="auto"/>
        </w:rPr>
        <w:t>NFENERGÍA LLC</w:t>
      </w:r>
    </w:p>
    <w:p>
      <w:pPr>
        <w:spacing w:after="0" w:line="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SOLUCIONES DE ENERGIA LIMPIA PR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POWER PR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ENCANTO EAST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ENCANTO WEST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ENCANTO POWER WEST LLC</w:t>
      </w:r>
    </w:p>
    <w:p>
      <w:pPr>
        <w:spacing w:after="0" w:line="200" w:lineRule="exact"/>
        <w:rPr>
          <w:sz w:val="20"/>
          <w:szCs w:val="20"/>
          <w:color w:val="auto"/>
        </w:rPr>
      </w:pPr>
    </w:p>
    <w:p>
      <w:pPr>
        <w:spacing w:after="0" w:line="28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b w:val="1"/>
          <w:bCs w:val="1"/>
          <w:color w:val="auto"/>
        </w:rPr>
        <w:t>NFE NICARAGUA DEVELOPMENT PARTNERS LLC, SUCURSAL NICARAGUA</w:t>
      </w:r>
    </w:p>
    <w:p>
      <w:pPr>
        <w:spacing w:after="0" w:line="200" w:lineRule="exact"/>
        <w:rPr>
          <w:sz w:val="20"/>
          <w:szCs w:val="20"/>
          <w:color w:val="auto"/>
        </w:rPr>
      </w:pPr>
    </w:p>
    <w:p>
      <w:pPr>
        <w:spacing w:after="0" w:line="3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13" w:lineRule="exact"/>
        <w:rPr>
          <w:sz w:val="20"/>
          <w:szCs w:val="20"/>
          <w:color w:val="auto"/>
        </w:rPr>
      </w:pPr>
    </w:p>
    <w:p>
      <w:pPr>
        <w:ind w:left="2120"/>
        <w:spacing w:after="0"/>
        <w:tabs>
          <w:tab w:leader="none" w:pos="278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400"/>
          </w:cols>
          <w:pgMar w:left="1440" w:top="1409" w:right="1059" w:bottom="1440" w:gutter="0" w:footer="0" w:header="0"/>
        </w:sectPr>
      </w:pPr>
    </w:p>
    <w:bookmarkStart w:id="145" w:name="page146"/>
    <w:bookmarkEnd w:id="145"/>
    <w:p>
      <w:pPr>
        <w:ind w:left="2120"/>
        <w:spacing w:after="0"/>
        <w:rPr>
          <w:sz w:val="20"/>
          <w:szCs w:val="20"/>
          <w:color w:val="auto"/>
        </w:rPr>
      </w:pPr>
      <w:r>
        <w:rPr>
          <w:rFonts w:ascii="Times New Roman" w:cs="Times New Roman" w:eastAsia="Times New Roman" w:hAnsi="Times New Roman"/>
          <w:sz w:val="20"/>
          <w:szCs w:val="20"/>
          <w:b w:val="1"/>
          <w:bCs w:val="1"/>
          <w:color w:val="auto"/>
        </w:rPr>
        <w:t>NFE MEXICO HOLDINGS S.À R.L.</w:t>
      </w:r>
    </w:p>
    <w:p>
      <w:pPr>
        <w:spacing w:after="0" w:line="32" w:lineRule="exact"/>
        <w:rPr>
          <w:sz w:val="20"/>
          <w:szCs w:val="20"/>
          <w:color w:val="auto"/>
        </w:rPr>
      </w:pPr>
    </w:p>
    <w:p>
      <w:pPr>
        <w:jc w:val="both"/>
        <w:ind w:left="2120"/>
        <w:spacing w:after="0" w:line="248" w:lineRule="auto"/>
        <w:rPr>
          <w:sz w:val="20"/>
          <w:szCs w:val="20"/>
          <w:color w:val="auto"/>
        </w:rPr>
      </w:pPr>
      <w:r>
        <w:rPr>
          <w:rFonts w:ascii="Times New Roman" w:cs="Times New Roman" w:eastAsia="Times New Roman" w:hAnsi="Times New Roman"/>
          <w:sz w:val="20"/>
          <w:szCs w:val="20"/>
          <w:color w:val="auto"/>
        </w:rPr>
        <w:t>A Luxembourg private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with registered office located at 12F, rue Guillaume Kroll, L-1882 Luxembourg, Grand Duchy of Luxembourg and registered with the Luxembourg trade and companies register (</w:t>
      </w:r>
      <w:r>
        <w:rPr>
          <w:rFonts w:ascii="Times New Roman" w:cs="Times New Roman" w:eastAsia="Times New Roman" w:hAnsi="Times New Roman"/>
          <w:sz w:val="20"/>
          <w:szCs w:val="20"/>
          <w:i w:val="1"/>
          <w:iCs w:val="1"/>
          <w:color w:val="auto"/>
        </w:rPr>
        <w:t>Registre de Commerce et 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Sociétés</w:t>
      </w:r>
      <w:r>
        <w:rPr>
          <w:rFonts w:ascii="Times New Roman" w:cs="Times New Roman" w:eastAsia="Times New Roman" w:hAnsi="Times New Roman"/>
          <w:sz w:val="20"/>
          <w:szCs w:val="20"/>
          <w:color w:val="auto"/>
        </w:rPr>
        <w:t>, Luxembourg) under number B267469, duly represented by: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Christopher S. Guinta</w:t>
      </w:r>
    </w:p>
    <w:p>
      <w:pPr>
        <w:spacing w:after="0" w:line="6" w:lineRule="exact"/>
        <w:rPr>
          <w:sz w:val="20"/>
          <w:szCs w:val="20"/>
          <w:color w:val="auto"/>
        </w:rPr>
      </w:pPr>
    </w:p>
    <w:p>
      <w:pPr>
        <w:ind w:left="2120"/>
        <w:spacing w:after="0"/>
        <w:tabs>
          <w:tab w:leader="none" w:pos="272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MEXICO HOLDINGS PARENT S.À R.L.</w:t>
      </w:r>
    </w:p>
    <w:p>
      <w:pPr>
        <w:spacing w:after="0" w:line="26" w:lineRule="exact"/>
        <w:rPr>
          <w:sz w:val="20"/>
          <w:szCs w:val="20"/>
          <w:color w:val="auto"/>
        </w:rPr>
      </w:pPr>
    </w:p>
    <w:p>
      <w:pPr>
        <w:jc w:val="both"/>
        <w:ind w:left="2120"/>
        <w:spacing w:after="0" w:line="251" w:lineRule="auto"/>
        <w:rPr>
          <w:sz w:val="20"/>
          <w:szCs w:val="20"/>
          <w:color w:val="auto"/>
        </w:rPr>
      </w:pPr>
      <w:r>
        <w:rPr>
          <w:rFonts w:ascii="Times New Roman" w:cs="Times New Roman" w:eastAsia="Times New Roman" w:hAnsi="Times New Roman"/>
          <w:sz w:val="20"/>
          <w:szCs w:val="20"/>
          <w:color w:val="auto"/>
        </w:rPr>
        <w:t>A Luxembourg private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with registered office located at 12F, rue Guillaume Kroll, L-1882 Luxembourg, Grand Duchy of Luxembourg and registered with the Luxembourg trade and companies register (</w:t>
      </w:r>
      <w:r>
        <w:rPr>
          <w:rFonts w:ascii="Times New Roman" w:cs="Times New Roman" w:eastAsia="Times New Roman" w:hAnsi="Times New Roman"/>
          <w:sz w:val="20"/>
          <w:szCs w:val="20"/>
          <w:i w:val="1"/>
          <w:iCs w:val="1"/>
          <w:color w:val="auto"/>
        </w:rPr>
        <w:t>Registre de Commerce et 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Sociétés</w:t>
      </w:r>
      <w:r>
        <w:rPr>
          <w:rFonts w:ascii="Times New Roman" w:cs="Times New Roman" w:eastAsia="Times New Roman" w:hAnsi="Times New Roman"/>
          <w:sz w:val="20"/>
          <w:szCs w:val="20"/>
          <w:color w:val="auto"/>
        </w:rPr>
        <w:t>, Luxembourg) under number B267494, duly represented by: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Christopher S. Guinta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10120"/>
          </w:cols>
          <w:pgMar w:left="1440" w:top="1409" w:right="339" w:bottom="1440" w:gutter="0" w:footer="0" w:header="0"/>
        </w:sectPr>
      </w:pPr>
    </w:p>
    <w:bookmarkStart w:id="146" w:name="page147"/>
    <w:bookmarkEnd w:id="146"/>
    <w:p>
      <w:pPr>
        <w:ind w:left="2120"/>
        <w:spacing w:after="0"/>
        <w:rPr>
          <w:sz w:val="20"/>
          <w:szCs w:val="20"/>
          <w:color w:val="auto"/>
        </w:rPr>
      </w:pPr>
      <w:r>
        <w:rPr>
          <w:rFonts w:ascii="Times New Roman" w:cs="Times New Roman" w:eastAsia="Times New Roman" w:hAnsi="Times New Roman"/>
          <w:sz w:val="20"/>
          <w:szCs w:val="20"/>
          <w:b w:val="1"/>
          <w:bCs w:val="1"/>
          <w:color w:val="auto"/>
        </w:rPr>
        <w:t>NFE GLOBAL HOLDINGS LIMITED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4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INTERNATIONAL HOLDINGS*</w:t>
      </w:r>
    </w:p>
    <w:p>
      <w:pPr>
        <w:spacing w:after="0" w:line="200" w:lineRule="exact"/>
        <w:rPr>
          <w:sz w:val="20"/>
          <w:szCs w:val="20"/>
          <w:color w:val="auto"/>
        </w:rPr>
      </w:pPr>
    </w:p>
    <w:p>
      <w:pPr>
        <w:spacing w:after="0" w:line="2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13"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*incorporated under the laws of England and Wales</w:t>
      </w:r>
    </w:p>
    <w:p>
      <w:pPr>
        <w:spacing w:after="0" w:line="2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MEXICO POWER HOLDINGS LIMITED</w:t>
      </w:r>
    </w:p>
    <w:p>
      <w:pPr>
        <w:spacing w:after="0" w:line="200" w:lineRule="exact"/>
        <w:rPr>
          <w:sz w:val="20"/>
          <w:szCs w:val="20"/>
          <w:color w:val="auto"/>
        </w:rPr>
      </w:pPr>
    </w:p>
    <w:p>
      <w:pPr>
        <w:spacing w:after="0" w:line="2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NFE LCA Fourteenth Amendment Agreement</w:t>
      </w:r>
    </w:p>
    <w:p>
      <w:pPr>
        <w:sectPr>
          <w:pgSz w:w="11900" w:h="16838" w:orient="portrait"/>
          <w:cols w:equalWidth="0" w:num="1">
            <w:col w:w="9019"/>
          </w:cols>
          <w:pgMar w:left="1440" w:top="1422" w:right="1440" w:bottom="1440" w:gutter="0" w:footer="0" w:header="0"/>
        </w:sectPr>
      </w:pPr>
    </w:p>
    <w:bookmarkStart w:id="147" w:name="page148"/>
    <w:bookmarkEnd w:id="147"/>
    <w:p>
      <w:pPr>
        <w:ind w:left="2120"/>
        <w:spacing w:after="0"/>
        <w:rPr>
          <w:sz w:val="20"/>
          <w:szCs w:val="20"/>
          <w:color w:val="auto"/>
        </w:rPr>
      </w:pPr>
      <w:r>
        <w:rPr>
          <w:rFonts w:ascii="Times New Roman" w:cs="Times New Roman" w:eastAsia="Times New Roman" w:hAnsi="Times New Roman"/>
          <w:sz w:val="19"/>
          <w:szCs w:val="19"/>
          <w:b w:val="1"/>
          <w:bCs w:val="1"/>
          <w:color w:val="auto"/>
        </w:rPr>
        <w:t>NFE MEXICO TERMINAL HOLDINGS LIMITED</w:t>
      </w:r>
    </w:p>
    <w:p>
      <w:pPr>
        <w:spacing w:after="0" w:line="200" w:lineRule="exact"/>
        <w:rPr>
          <w:sz w:val="20"/>
          <w:szCs w:val="20"/>
          <w:color w:val="auto"/>
        </w:rPr>
      </w:pPr>
    </w:p>
    <w:p>
      <w:pPr>
        <w:spacing w:after="0" w:line="3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UK HOLDINGS LIMITED</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3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GP LLC</w:t>
      </w:r>
    </w:p>
    <w:p>
      <w:pPr>
        <w:spacing w:after="0" w:line="200" w:lineRule="exact"/>
        <w:rPr>
          <w:sz w:val="20"/>
          <w:szCs w:val="20"/>
          <w:color w:val="auto"/>
        </w:rPr>
      </w:pPr>
    </w:p>
    <w:p>
      <w:pPr>
        <w:spacing w:after="0" w:line="2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13"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INTERNATIONAL HOLDINGS 1 LIMITED</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NFE INTERNATIONAL HOLDINGS 2 LIMITED</w:t>
      </w:r>
    </w:p>
    <w:p>
      <w:pPr>
        <w:spacing w:after="0" w:line="200" w:lineRule="exact"/>
        <w:rPr>
          <w:sz w:val="20"/>
          <w:szCs w:val="20"/>
          <w:color w:val="auto"/>
        </w:rPr>
      </w:pPr>
    </w:p>
    <w:p>
      <w:pPr>
        <w:spacing w:after="0" w:line="2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S. Guinta</w:t>
      </w:r>
    </w:p>
    <w:p>
      <w:pPr>
        <w:spacing w:after="0" w:line="6" w:lineRule="exact"/>
        <w:rPr>
          <w:sz w:val="20"/>
          <w:szCs w:val="20"/>
          <w:color w:val="auto"/>
        </w:rPr>
      </w:pPr>
    </w:p>
    <w:p>
      <w:pPr>
        <w:ind w:left="2120"/>
        <w:spacing w:after="0"/>
        <w:tabs>
          <w:tab w:leader="none" w:pos="2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09" w:right="1440"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NFE LCA Fourteenth Amendment Agreement</w:t>
      </w:r>
    </w:p>
    <w:p>
      <w:pPr>
        <w:sectPr>
          <w:pgSz w:w="11900" w:h="16838" w:orient="portrait"/>
          <w:cols w:equalWidth="0" w:num="1">
            <w:col w:w="9019"/>
          </w:cols>
          <w:pgMar w:left="1440" w:top="1440" w:right="1440" w:bottom="1440" w:gutter="0" w:footer="0" w:header="0"/>
        </w:sectPr>
      </w:pPr>
    </w:p>
    <w:bookmarkStart w:id="149" w:name="page150"/>
    <w:bookmarkEnd w:id="149"/>
    <w:p>
      <w:pPr>
        <w:ind w:left="2120"/>
        <w:spacing w:after="0"/>
        <w:rPr>
          <w:sz w:val="20"/>
          <w:szCs w:val="20"/>
          <w:color w:val="auto"/>
        </w:rPr>
      </w:pPr>
      <w:r>
        <w:rPr>
          <w:rFonts w:ascii="Times New Roman" w:cs="Times New Roman" w:eastAsia="Times New Roman" w:hAnsi="Times New Roman"/>
          <w:sz w:val="21"/>
          <w:szCs w:val="21"/>
          <w:b w:val="1"/>
          <w:bCs w:val="1"/>
          <w:color w:val="auto"/>
        </w:rPr>
        <w:t>NATIXIS, NEW YORK BRANCH</w:t>
      </w:r>
      <w:r>
        <w:rPr>
          <w:rFonts w:ascii="Times New Roman" w:cs="Times New Roman" w:eastAsia="Times New Roman" w:hAnsi="Times New Roman"/>
          <w:sz w:val="21"/>
          <w:szCs w:val="21"/>
          <w:color w:val="auto"/>
        </w:rPr>
        <w:t>, as Administrative Agent</w:t>
      </w: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NATIXIS, NEW YORK BRANCH</w:t>
      </w:r>
      <w:r>
        <w:rPr>
          <w:rFonts w:ascii="Times New Roman" w:cs="Times New Roman" w:eastAsia="Times New Roman" w:hAnsi="Times New Roman"/>
          <w:sz w:val="22"/>
          <w:szCs w:val="22"/>
          <w:color w:val="auto"/>
        </w:rPr>
        <w:t>, as Collateral Agent</w:t>
      </w: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NATIXIS, NEW YORK BRANCH</w:t>
      </w:r>
      <w:r>
        <w:rPr>
          <w:rFonts w:ascii="Times New Roman" w:cs="Times New Roman" w:eastAsia="Times New Roman" w:hAnsi="Times New Roman"/>
          <w:sz w:val="22"/>
          <w:szCs w:val="22"/>
          <w:color w:val="auto"/>
        </w:rPr>
        <w:t>, as a Lender</w:t>
      </w: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NATIXIS, NEW YORK BRANCH</w:t>
      </w:r>
      <w:r>
        <w:rPr>
          <w:rFonts w:ascii="Times New Roman" w:cs="Times New Roman" w:eastAsia="Times New Roman" w:hAnsi="Times New Roman"/>
          <w:sz w:val="22"/>
          <w:szCs w:val="22"/>
          <w:color w:val="auto"/>
        </w:rPr>
        <w:t>, as an Issuing Bank</w:t>
      </w: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NFE LCA Fourteenth Amendment Agreement</w:t>
      </w:r>
    </w:p>
    <w:p>
      <w:pPr>
        <w:sectPr>
          <w:pgSz w:w="11900" w:h="16838" w:orient="portrait"/>
          <w:cols w:equalWidth="0" w:num="1">
            <w:col w:w="9019"/>
          </w:cols>
          <w:pgMar w:left="1440" w:top="1417" w:right="1440" w:bottom="1440" w:gutter="0" w:footer="0" w:header="0"/>
          <w:type w:val="continuous"/>
        </w:sectPr>
      </w:pPr>
    </w:p>
    <w:bookmarkStart w:id="150" w:name="page151"/>
    <w:bookmarkEnd w:id="150"/>
    <w:p>
      <w:pPr>
        <w:ind w:left="2120"/>
        <w:spacing w:after="0"/>
        <w:rPr>
          <w:sz w:val="20"/>
          <w:szCs w:val="20"/>
          <w:color w:val="auto"/>
        </w:rPr>
      </w:pPr>
      <w:r>
        <w:rPr>
          <w:rFonts w:ascii="Times New Roman" w:cs="Times New Roman" w:eastAsia="Times New Roman" w:hAnsi="Times New Roman"/>
          <w:sz w:val="21"/>
          <w:szCs w:val="21"/>
          <w:b w:val="1"/>
          <w:bCs w:val="1"/>
          <w:color w:val="auto"/>
        </w:rPr>
        <w:t>DEUTSCHE BANK AG NEW YORK BRANCH</w:t>
      </w:r>
      <w:r>
        <w:rPr>
          <w:rFonts w:ascii="Times New Roman" w:cs="Times New Roman" w:eastAsia="Times New Roman" w:hAnsi="Times New Roman"/>
          <w:sz w:val="21"/>
          <w:szCs w:val="21"/>
          <w:color w:val="auto"/>
        </w:rPr>
        <w:t>, as a Lender</w:t>
      </w: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17" w:right="1440" w:bottom="1440" w:gutter="0" w:footer="0" w:header="0"/>
        </w:sectPr>
      </w:pPr>
    </w:p>
    <w:bookmarkStart w:id="151" w:name="page152"/>
    <w:bookmarkEnd w:id="151"/>
    <w:p>
      <w:pPr>
        <w:ind w:left="2120"/>
        <w:spacing w:after="0"/>
        <w:rPr>
          <w:sz w:val="20"/>
          <w:szCs w:val="20"/>
          <w:color w:val="auto"/>
        </w:rPr>
      </w:pPr>
      <w:r>
        <w:rPr>
          <w:rFonts w:ascii="Times New Roman" w:cs="Times New Roman" w:eastAsia="Times New Roman" w:hAnsi="Times New Roman"/>
          <w:sz w:val="22"/>
          <w:szCs w:val="22"/>
          <w:b w:val="1"/>
          <w:bCs w:val="1"/>
          <w:color w:val="auto"/>
        </w:rPr>
        <w:t>CREDIT AGRICOLE CORPORATE AND INVESTMENT BANK</w:t>
      </w:r>
      <w:r>
        <w:rPr>
          <w:rFonts w:ascii="Times New Roman" w:cs="Times New Roman" w:eastAsia="Times New Roman" w:hAnsi="Times New Roman"/>
          <w:sz w:val="22"/>
          <w:szCs w:val="22"/>
          <w:color w:val="auto"/>
        </w:rPr>
        <w:t>, as a Lender</w:t>
      </w:r>
    </w:p>
    <w:p>
      <w:pPr>
        <w:spacing w:after="0" w:line="2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0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b w:val="1"/>
          <w:bCs w:val="1"/>
          <w:color w:val="auto"/>
        </w:rPr>
        <w:t>CREDIT AGRICOLE CORPORATE AND INVESTMENT BANK</w:t>
      </w:r>
      <w:r>
        <w:rPr>
          <w:rFonts w:ascii="Times New Roman" w:cs="Times New Roman" w:eastAsia="Times New Roman" w:hAnsi="Times New Roman"/>
          <w:sz w:val="21"/>
          <w:szCs w:val="21"/>
          <w:color w:val="auto"/>
        </w:rPr>
        <w:t>, as an Issuing Bank</w:t>
      </w:r>
    </w:p>
    <w:p>
      <w:pPr>
        <w:spacing w:after="0" w:line="2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10060"/>
          </w:cols>
          <w:pgMar w:left="1440" w:top="1417" w:right="399" w:bottom="1440" w:gutter="0" w:footer="0" w:header="0"/>
        </w:sectPr>
      </w:pPr>
    </w:p>
    <w:bookmarkStart w:id="152" w:name="page153"/>
    <w:bookmarkEnd w:id="152"/>
    <w:p>
      <w:pPr>
        <w:ind w:left="2120"/>
        <w:spacing w:after="0"/>
        <w:rPr>
          <w:sz w:val="20"/>
          <w:szCs w:val="20"/>
          <w:color w:val="auto"/>
        </w:rPr>
      </w:pPr>
      <w:r>
        <w:rPr>
          <w:rFonts w:ascii="Times New Roman" w:cs="Times New Roman" w:eastAsia="Times New Roman" w:hAnsi="Times New Roman"/>
          <w:sz w:val="22"/>
          <w:szCs w:val="22"/>
          <w:b w:val="1"/>
          <w:bCs w:val="1"/>
          <w:color w:val="auto"/>
        </w:rPr>
        <w:t>HSBC BANK USA, N.A.</w:t>
      </w:r>
      <w:r>
        <w:rPr>
          <w:rFonts w:ascii="Times New Roman" w:cs="Times New Roman" w:eastAsia="Times New Roman" w:hAnsi="Times New Roman"/>
          <w:sz w:val="22"/>
          <w:szCs w:val="22"/>
          <w:color w:val="auto"/>
        </w:rPr>
        <w:t>, as a Lender</w:t>
      </w:r>
    </w:p>
    <w:p>
      <w:pPr>
        <w:spacing w:after="0" w:line="2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7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HSBC BANK USA, N.A.</w:t>
      </w:r>
      <w:r>
        <w:rPr>
          <w:rFonts w:ascii="Times New Roman" w:cs="Times New Roman" w:eastAsia="Times New Roman" w:hAnsi="Times New Roman"/>
          <w:sz w:val="22"/>
          <w:szCs w:val="22"/>
          <w:color w:val="auto"/>
        </w:rPr>
        <w:t>, as an Issuing Bank</w:t>
      </w:r>
    </w:p>
    <w:p>
      <w:pPr>
        <w:spacing w:after="0" w:line="2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NFE LCA Fourteenth Amendment Agreement</w:t>
      </w:r>
    </w:p>
    <w:p>
      <w:pPr>
        <w:sectPr>
          <w:pgSz w:w="11900" w:h="16838" w:orient="portrait"/>
          <w:cols w:equalWidth="0" w:num="1">
            <w:col w:w="9019"/>
          </w:cols>
          <w:pgMar w:left="1440" w:top="1418" w:right="1440" w:bottom="1440" w:gutter="0" w:footer="0" w:header="0"/>
        </w:sectPr>
      </w:pPr>
    </w:p>
    <w:bookmarkStart w:id="153" w:name="page154"/>
    <w:bookmarkEnd w:id="153"/>
    <w:p>
      <w:pPr>
        <w:ind w:left="2120"/>
        <w:spacing w:after="0"/>
        <w:rPr>
          <w:sz w:val="20"/>
          <w:szCs w:val="20"/>
          <w:color w:val="auto"/>
        </w:rPr>
      </w:pPr>
      <w:r>
        <w:rPr>
          <w:rFonts w:ascii="Times New Roman" w:cs="Times New Roman" w:eastAsia="Times New Roman" w:hAnsi="Times New Roman"/>
          <w:sz w:val="21"/>
          <w:szCs w:val="21"/>
          <w:b w:val="1"/>
          <w:bCs w:val="1"/>
          <w:color w:val="auto"/>
        </w:rPr>
        <w:t>SUMITOMO MITSUI BANKING CORPORATION</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3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18" w:right="1440" w:bottom="1440" w:gutter="0" w:footer="0" w:header="0"/>
        </w:sectPr>
      </w:pPr>
    </w:p>
    <w:bookmarkStart w:id="154" w:name="page155"/>
    <w:bookmarkEnd w:id="154"/>
    <w:p>
      <w:pPr>
        <w:ind w:left="2120"/>
        <w:spacing w:after="0"/>
        <w:rPr>
          <w:sz w:val="20"/>
          <w:szCs w:val="20"/>
          <w:color w:val="auto"/>
        </w:rPr>
      </w:pPr>
      <w:r>
        <w:rPr>
          <w:rFonts w:ascii="Times New Roman" w:cs="Times New Roman" w:eastAsia="Times New Roman" w:hAnsi="Times New Roman"/>
          <w:sz w:val="21"/>
          <w:szCs w:val="21"/>
          <w:b w:val="1"/>
          <w:bCs w:val="1"/>
          <w:color w:val="auto"/>
        </w:rPr>
        <w:t>BANCO SANTANDER, S.A., NEW YORK BRANCH</w:t>
      </w:r>
      <w:r>
        <w:rPr>
          <w:rFonts w:ascii="Times New Roman" w:cs="Times New Roman" w:eastAsia="Times New Roman" w:hAnsi="Times New Roman"/>
          <w:sz w:val="21"/>
          <w:szCs w:val="21"/>
          <w:color w:val="auto"/>
        </w:rPr>
        <w:t>, as a Lender</w:t>
      </w:r>
    </w:p>
    <w:p>
      <w:pPr>
        <w:spacing w:after="0" w:line="3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274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9019"/>
          </w:cols>
          <w:pgMar w:left="1440" w:top="1418" w:right="1440" w:bottom="1440" w:gutter="0" w:footer="0" w:header="0"/>
        </w:sectPr>
      </w:pPr>
    </w:p>
    <w:bookmarkStart w:id="155" w:name="page156"/>
    <w:bookmarkEnd w:id="155"/>
    <w:p>
      <w:pPr>
        <w:ind w:left="10520"/>
        <w:spacing w:after="0"/>
        <w:rPr>
          <w:sz w:val="20"/>
          <w:szCs w:val="20"/>
          <w:color w:val="auto"/>
        </w:rPr>
      </w:pPr>
      <w:r>
        <w:rPr>
          <w:rFonts w:ascii="Times New Roman" w:cs="Times New Roman" w:eastAsia="Times New Roman" w:hAnsi="Times New Roman"/>
          <w:sz w:val="20"/>
          <w:szCs w:val="20"/>
          <w:b w:val="1"/>
          <w:bCs w:val="1"/>
          <w:i w:val="1"/>
          <w:i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1.2</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EXISTING LCs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(as of the Fourteenth Amendment Agreement Effective Date)</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4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LC #</w:t>
            </w:r>
          </w:p>
        </w:tc>
        <w:tc>
          <w:tcPr>
            <w:tcW w:w="10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6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Legal Beneficiary</w:t>
            </w:r>
          </w:p>
        </w:tc>
        <w:tc>
          <w:tcPr>
            <w:tcW w:w="16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Simplified</w:t>
            </w:r>
          </w:p>
        </w:tc>
        <w:tc>
          <w:tcPr>
            <w:tcW w:w="2040" w:type="dxa"/>
            <w:vAlign w:val="bottom"/>
            <w:tcBorders>
              <w:top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Expiry Date</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Beneficiary</w:t>
            </w:r>
          </w:p>
        </w:tc>
        <w:tc>
          <w:tcPr>
            <w:tcW w:w="20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38"/>
        </w:trPr>
        <w:tc>
          <w:tcPr>
            <w:tcW w:w="24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(Not a legal term)</w:t>
            </w:r>
          </w:p>
        </w:tc>
        <w:tc>
          <w:tcPr>
            <w:tcW w:w="20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8"/>
        </w:trPr>
        <w:tc>
          <w:tcPr>
            <w:tcW w:w="2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SB-55960</w:t>
            </w:r>
          </w:p>
        </w:tc>
        <w:tc>
          <w:tcPr>
            <w:tcW w:w="1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Natixis</w:t>
            </w: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Tennessee Gas Pipelline Company,</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Kinder Morgan</w:t>
            </w:r>
          </w:p>
        </w:tc>
        <w:tc>
          <w:tcPr>
            <w:tcW w:w="20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58,186,200.00</w:t>
            </w:r>
          </w:p>
        </w:tc>
        <w:tc>
          <w:tcPr>
            <w:tcW w:w="1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2/1/2027</w:t>
            </w:r>
          </w:p>
        </w:tc>
      </w:tr>
      <w:tr>
        <w:trPr>
          <w:trHeight w:val="234"/>
        </w:trPr>
        <w:tc>
          <w:tcPr>
            <w:tcW w:w="24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8"/>
        </w:trPr>
        <w:tc>
          <w:tcPr>
            <w:tcW w:w="2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SDCMTN585218</w:t>
            </w:r>
          </w:p>
        </w:tc>
        <w:tc>
          <w:tcPr>
            <w:tcW w:w="1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HSBC</w:t>
            </w: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HSBC Bank USA / CFEnergia</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CFE</w:t>
            </w:r>
          </w:p>
        </w:tc>
        <w:tc>
          <w:tcPr>
            <w:tcW w:w="20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43,684,572.40</w:t>
            </w:r>
          </w:p>
        </w:tc>
        <w:tc>
          <w:tcPr>
            <w:tcW w:w="1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1/8/2027</w:t>
            </w:r>
          </w:p>
        </w:tc>
      </w:tr>
      <w:tr>
        <w:trPr>
          <w:trHeight w:val="234"/>
        </w:trPr>
        <w:tc>
          <w:tcPr>
            <w:tcW w:w="24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 de C.V.</w:t>
            </w:r>
          </w:p>
        </w:tc>
        <w:tc>
          <w:tcPr>
            <w:tcW w:w="16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GUSGTF2500131</w:t>
            </w:r>
          </w:p>
        </w:tc>
        <w:tc>
          <w:tcPr>
            <w:tcW w:w="1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CACIB</w:t>
            </w: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Scotiabank Inverlat, S.A.</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CFE</w:t>
            </w:r>
          </w:p>
        </w:tc>
        <w:tc>
          <w:tcPr>
            <w:tcW w:w="20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13,000,000.00</w:t>
            </w:r>
          </w:p>
        </w:tc>
        <w:tc>
          <w:tcPr>
            <w:tcW w:w="1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1/21/2027</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5001IGT2504358AG</w:t>
            </w:r>
          </w:p>
        </w:tc>
        <w:tc>
          <w:tcPr>
            <w:tcW w:w="1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Natixis</w:t>
            </w: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Scotiabank Inverlat, S.A.</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CFE</w:t>
            </w:r>
          </w:p>
        </w:tc>
        <w:tc>
          <w:tcPr>
            <w:tcW w:w="20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9,335,998.65</w:t>
            </w:r>
          </w:p>
        </w:tc>
        <w:tc>
          <w:tcPr>
            <w:tcW w:w="1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11/28/2026</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5001IGT2504410AG</w:t>
            </w:r>
          </w:p>
        </w:tc>
        <w:tc>
          <w:tcPr>
            <w:tcW w:w="1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Natixis</w:t>
            </w: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TotalEnergies Gas and Power Ltd</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31,132,614.35</w:t>
            </w:r>
          </w:p>
        </w:tc>
        <w:tc>
          <w:tcPr>
            <w:tcW w:w="1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4/4/2026</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8"/>
        </w:trPr>
        <w:tc>
          <w:tcPr>
            <w:tcW w:w="2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5001IGT2504485AG</w:t>
            </w:r>
          </w:p>
        </w:tc>
        <w:tc>
          <w:tcPr>
            <w:tcW w:w="1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Natixis</w:t>
            </w: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 Electric Power Authority</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PREPA</w:t>
            </w:r>
          </w:p>
        </w:tc>
        <w:tc>
          <w:tcPr>
            <w:tcW w:w="204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10,000,000.00</w:t>
            </w:r>
          </w:p>
        </w:tc>
        <w:tc>
          <w:tcPr>
            <w:tcW w:w="1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12/12/2026</w:t>
            </w:r>
          </w:p>
        </w:tc>
      </w:tr>
      <w:tr>
        <w:trPr>
          <w:trHeight w:val="234"/>
        </w:trPr>
        <w:tc>
          <w:tcPr>
            <w:tcW w:w="24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(PREPA)</w:t>
            </w:r>
          </w:p>
        </w:tc>
        <w:tc>
          <w:tcPr>
            <w:tcW w:w="16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4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165,339,385.40</w:t>
            </w:r>
          </w:p>
        </w:tc>
        <w:tc>
          <w:tcPr>
            <w:tcW w:w="1480" w:type="dxa"/>
            <w:vAlign w:val="bottom"/>
            <w:tcBorders>
              <w:right w:val="single" w:sz="8" w:color="auto"/>
            </w:tcBorders>
          </w:tcPr>
          <w:p>
            <w:pPr>
              <w:spacing w:after="0"/>
              <w:rPr>
                <w:sz w:val="20"/>
                <w:szCs w:val="20"/>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Annex A</w:t>
      </w:r>
    </w:p>
    <w:p>
      <w:pPr>
        <w:sectPr>
          <w:pgSz w:w="11900" w:h="16838" w:orient="portrait"/>
          <w:cols w:equalWidth="0" w:num="1">
            <w:col w:w="11260"/>
          </w:cols>
          <w:pgMar w:left="320" w:top="112"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Foreign Subsidiary Loan Documents and Lien Searches</w:t>
      </w:r>
    </w:p>
    <w:p>
      <w:pPr>
        <w:spacing w:after="0" w:line="233" w:lineRule="exact"/>
        <w:rPr>
          <w:sz w:val="20"/>
          <w:szCs w:val="20"/>
          <w:color w:val="auto"/>
        </w:rPr>
      </w:pPr>
    </w:p>
    <w:p>
      <w:pPr>
        <w:jc w:val="both"/>
        <w:ind w:left="340" w:hanging="332"/>
        <w:spacing w:after="0" w:line="245" w:lineRule="auto"/>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thirty (30) days after the Fourteenth Amendment Effective Date (or such longer date as the Administrative Agent may agree in its sole discretion) the Borrower and Guarantors shall provide the Administrative Agent a report of financing statement, tax, judgment or other customary lien searches performed in Barbados, Bermuda, Ireland, Jamaica, Mexico, Puerto Rico, and the United States with respect to the Loan Parties existing in such jurisdictions, and such report shall show no Liens on such Loan Parties’ Property (except as permitted by Section 6.6 of the LCA) to the extent not provided on the Fourteenth Amendment Effective Date pursuant to Section 4(G) of the Fourteenth Amendment Agreement.</w:t>
      </w:r>
    </w:p>
    <w:p>
      <w:pPr>
        <w:spacing w:after="0" w:line="170"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ninety (90) days following the Fourteenth Amendment Effective Date (or such longer date as the Collateral Agent may agree in its sole discretion) (a) the Security Documents, or amendments, amendments and restatements, supplements or other modifications thereto, in respect of the Collateral in Nicaragua, and all filings and other documents required by such Security Documents to create or perfect (to the extent required by such Security Documents) the security interests for the benefit of the Secured Parties in the Collateral of such Guarantor; and (b) a Power of Attorney to be granted by NFE Nicaragua Development Partners Sucursal Nicaragua.</w:t>
      </w:r>
    </w:p>
    <w:p>
      <w:pPr>
        <w:spacing w:after="0" w:line="152" w:lineRule="exact"/>
        <w:rPr>
          <w:rFonts w:ascii="Times New Roman" w:cs="Times New Roman" w:eastAsia="Times New Roman" w:hAnsi="Times New Roman"/>
          <w:sz w:val="19"/>
          <w:szCs w:val="19"/>
          <w:color w:val="auto"/>
        </w:rPr>
      </w:pPr>
    </w:p>
    <w:p>
      <w:pPr>
        <w:jc w:val="both"/>
        <w:ind w:left="340" w:hanging="332"/>
        <w:spacing w:after="0" w:line="246" w:lineRule="auto"/>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ninety (90) days following the Fourteenth Amendment Effective Date (or such longer date as the LCA Collateral Agent may agree in its sole discretion) (a) obtaining an updated Certificate of Good Standing from the Companies Office of Jamaica; (b) stamping of the Deed of Amendment and Security Confirmation in accordance with the Stamp Duty Act; and (c) recording of the Deed of Amendment and Security Confirmation at the Island Record Office of Jamaica, each in respect of NFE South Power Trading Limited, a Jamaican limited company.</w:t>
      </w:r>
    </w:p>
    <w:p>
      <w:pPr>
        <w:spacing w:after="0" w:line="171"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thirty (30) days following the Fourteenth Amendment Effective Date (or such longer date as the Collateral Agent may agree in its sole discretion) the legal opinion in relation to the Barbados guarantors for the 14th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Annex B</w:t>
      </w:r>
    </w:p>
    <w:p>
      <w:pPr>
        <w:sectPr>
          <w:pgSz w:w="11900" w:h="16838" w:orient="portrait"/>
          <w:cols w:equalWidth="0" w:num="1">
            <w:col w:w="11240"/>
          </w:cols>
          <w:pgMar w:left="320" w:top="112"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b w:val="1"/>
          <w:bCs w:val="1"/>
          <w:color w:val="auto"/>
        </w:rPr>
        <w:t>Specified Defaults</w:t>
      </w:r>
    </w:p>
    <w:p>
      <w:pPr>
        <w:spacing w:after="0" w:line="220" w:lineRule="exact"/>
        <w:rPr>
          <w:sz w:val="20"/>
          <w:szCs w:val="20"/>
          <w:color w:val="auto"/>
        </w:rPr>
      </w:pPr>
    </w:p>
    <w:p>
      <w:pPr>
        <w:jc w:val="both"/>
        <w:ind w:left="328" w:hanging="328"/>
        <w:spacing w:after="0" w:line="244"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of Default under Section 7.1(a)(1)(ii) and/or Section 7.1(a)(4) of the LCA has occurred prior to the Fourteenth Amendment Agreement Effective Date as a result of the failure to cash collateralize any Letter(s) of Credit scheduled to remain outstanding on or after the Maturity Date on or prior to the date that is fifteen (15) Business Days prior to the Maturity Date, as required by Section 2.5(c) thereof.</w:t>
      </w:r>
    </w:p>
    <w:p>
      <w:pPr>
        <w:spacing w:after="0" w:line="185" w:lineRule="exact"/>
        <w:rPr>
          <w:rFonts w:ascii="Times New Roman" w:cs="Times New Roman" w:eastAsia="Times New Roman" w:hAnsi="Times New Roman"/>
          <w:sz w:val="20"/>
          <w:szCs w:val="20"/>
          <w:color w:val="auto"/>
        </w:rPr>
      </w:pPr>
    </w:p>
    <w:p>
      <w:pPr>
        <w:jc w:val="both"/>
        <w:ind w:left="328" w:hanging="328"/>
        <w:spacing w:after="0" w:line="249"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Event of Default, Events of Default under Section 7.1(a)(1)(ii) of the LCA have occurred or may have occurred solely as a result of the failure to repay any Unpaid Drawings and other Reimbursement Obligations following receipt of FEMA Make Whole proceeds or the failure to otherwise cash collateralize the outstanding Letter(s) of Credit, in each case, as required by Section 2.5(g)(ii) thereof and any Event of Default resulting from the use of such proceeds.</w:t>
      </w:r>
    </w:p>
    <w:p>
      <w:pPr>
        <w:spacing w:after="0" w:line="179" w:lineRule="exact"/>
        <w:rPr>
          <w:rFonts w:ascii="Times New Roman" w:cs="Times New Roman" w:eastAsia="Times New Roman" w:hAnsi="Times New Roman"/>
          <w:sz w:val="20"/>
          <w:szCs w:val="20"/>
          <w:color w:val="auto"/>
        </w:rPr>
      </w:pPr>
    </w:p>
    <w:p>
      <w:pPr>
        <w:ind w:left="328" w:right="20" w:hanging="328"/>
        <w:spacing w:after="0" w:line="269"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Events of Default under Section 7.1(a)(3) of the LCA have occurred solely as a result of the failure to deliver a notice required by Section 5.7(a) thereof regarding the occurrence of any Default or Event of Default described in this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 7.1(a)(3) of the LCA have occurred solely as a result of failure to maintain the Consolidated First Lien Debt Ratio for any fiscal quarter ending after December 31, 2025 and prior to the Fourteenth Amendment Agreement Effective Date, as required by Section 6.10(a) thereof.</w:t>
      </w:r>
    </w:p>
    <w:p>
      <w:pPr>
        <w:spacing w:after="0" w:line="181"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 7.1(a)(3) of the LCA have occurred solely as a result of failure to maintain the Fixed Charge Coverage Ratio for any fiscal quarter ending after December 31, 2025 and prior to the Fourteenth Amendment Agreement Effective Date, as required by Section 6.10(b) thereof.</w:t>
      </w:r>
    </w:p>
    <w:p>
      <w:pPr>
        <w:spacing w:after="0" w:line="181"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 7.1(a)(3) of the LCA have occurred solely as a result of failure to maintain the minimum Consolidated Liquidity required by Section 6.10(c)(ii) thereof as of the last day of the calendar months ended January 31, 2026 and February 28, 2026 and thereafter ending prior to the Fourteenth Amendment Agreement Effective Date.</w:t>
      </w:r>
    </w:p>
    <w:p>
      <w:pPr>
        <w:spacing w:after="0" w:line="167" w:lineRule="exact"/>
        <w:rPr>
          <w:rFonts w:ascii="Times New Roman" w:cs="Times New Roman" w:eastAsia="Times New Roman" w:hAnsi="Times New Roman"/>
          <w:sz w:val="20"/>
          <w:szCs w:val="20"/>
          <w:color w:val="auto"/>
        </w:rPr>
      </w:pPr>
    </w:p>
    <w:p>
      <w:pPr>
        <w:jc w:val="both"/>
        <w:ind w:left="328" w:right="20" w:hanging="328"/>
        <w:spacing w:after="0" w:line="268"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Events of Default under Section 7.1(a)(2) of the LCA have occurred solely as a result of the making of representations and warranties, whether by bringing down or deemed or otherwise, that were inaccurate at the time such representation and warranty was made as a result of the Events of Default specified in this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328" w:hanging="328"/>
        <w:spacing w:after="0" w:line="283"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 7.1(a)(7)(v) of the LCA have occurred solely as a result of any admission of the inability to or failure generally to pay debts as they become due.</w:t>
      </w:r>
    </w:p>
    <w:p>
      <w:pPr>
        <w:spacing w:after="0" w:line="146" w:lineRule="exact"/>
        <w:rPr>
          <w:rFonts w:ascii="Times New Roman" w:cs="Times New Roman" w:eastAsia="Times New Roman" w:hAnsi="Times New Roman"/>
          <w:sz w:val="20"/>
          <w:szCs w:val="20"/>
          <w:color w:val="auto"/>
        </w:rPr>
      </w:pPr>
    </w:p>
    <w:p>
      <w:pPr>
        <w:jc w:val="both"/>
        <w:ind w:left="328" w:hanging="328"/>
        <w:spacing w:after="0" w:line="258"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Sections 7.1(a)(14), 7.1(a)(15) and 7.1(a)(16) of the LCA have occurred solely as a result of failing to maintain the New 2029 Notes Forbearance Agreement, Term Loan A Forbearance Agreement and Term Loan B Forbearance Agreement in full force and effect in accordance with their respective terms, materially violating or breaching the terms of such forbearance agreements and/or the expiration of the Forbearance Period (as defined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NFE LCA Fourteenth Amendment Agreement</w:t>
      </w:r>
    </w:p>
    <w:p>
      <w:pPr>
        <w:sectPr>
          <w:pgSz w:w="11900" w:h="16838" w:orient="portrait"/>
          <w:cols w:equalWidth="0" w:num="1">
            <w:col w:w="10908"/>
          </w:cols>
          <w:pgMar w:left="652" w:top="112" w:right="339" w:bottom="1440" w:gutter="0" w:footer="0" w:header="0"/>
        </w:sectPr>
      </w:pPr>
    </w:p>
    <w:bookmarkStart w:id="158" w:name="page159"/>
    <w:bookmarkEnd w:id="158"/>
    <w:p>
      <w:pPr>
        <w:spacing w:after="0" w:line="198" w:lineRule="exact"/>
        <w:rPr>
          <w:sz w:val="20"/>
          <w:szCs w:val="20"/>
          <w:color w:val="auto"/>
        </w:rPr>
      </w:pPr>
    </w:p>
    <w:p>
      <w:pPr>
        <w:jc w:val="both"/>
        <w:ind w:left="328" w:hanging="328"/>
        <w:spacing w:after="0" w:line="264" w:lineRule="auto"/>
        <w:tabs>
          <w:tab w:leader="none" w:pos="31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Events of Default under Section 7.1(a)(4)(B) of the </w:t>
      </w:r>
      <w:r>
        <w:rPr>
          <w:rFonts w:ascii="Times New Roman" w:cs="Times New Roman" w:eastAsia="Times New Roman" w:hAnsi="Times New Roman"/>
          <w:sz w:val="21"/>
          <w:szCs w:val="21"/>
          <w:color w:val="auto"/>
        </w:rPr>
        <w:t>LCA</w:t>
      </w:r>
      <w:r>
        <w:rPr>
          <w:rFonts w:ascii="Times New Roman" w:cs="Times New Roman" w:eastAsia="Times New Roman" w:hAnsi="Times New Roman"/>
          <w:sz w:val="20"/>
          <w:szCs w:val="20"/>
          <w:color w:val="auto"/>
        </w:rPr>
        <w:t xml:space="preserve"> have occurred solely as a result of failures to deliver financial statements and related materials as required by Sections 5.1(a), 5.1(b), 5.2(a), 5.2(b) and 5.2(c) thereof prior to the Fourteenth Amendment Agreement Effective Date</w:t>
      </w:r>
    </w:p>
    <w:p>
      <w:pPr>
        <w:spacing w:after="0" w:line="178"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1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 7.1(a)(4) of the LCA have occurred or may occur on or prior to April 30, 2026 solely as a result of the Borrower’s failure to provide annual budgets for its fiscal years ending December 31, 2025 and December 31, 2026 under Section 5.2(b) thereof.</w:t>
      </w:r>
    </w:p>
    <w:p>
      <w:pPr>
        <w:spacing w:after="0" w:line="181"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1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of Default under Section 7.1(a)(2) and/or Section 7.1(a)(4) of the LCA have occurred or may occur on the Fourteenth Amendment Agreement Effective Date solely as a result of the Borrower’s payment of fees specified in the Fee Letter entered into in connection with this Amendment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Annex C</w:t>
      </w:r>
    </w:p>
    <w:p>
      <w:pPr>
        <w:sectPr>
          <w:pgSz w:w="11900" w:h="16838" w:orient="portrait"/>
          <w:cols w:equalWidth="0" w:num="1">
            <w:col w:w="10908"/>
          </w:cols>
          <w:pgMar w:left="652" w:top="144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FORBEARANCE AGREEMENT</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FORBEARANCE AGREEMENT</w:t>
      </w:r>
      <w:r>
        <w:rPr>
          <w:rFonts w:ascii="Times New Roman" w:cs="Times New Roman" w:eastAsia="Times New Roman" w:hAnsi="Times New Roman"/>
          <w:sz w:val="21"/>
          <w:szCs w:val="21"/>
          <w:color w:val="auto"/>
        </w:rPr>
        <w:t>, dated as of March 27, 2026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among New Fortress Energy Inc., a Delaware corporation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collectively with any of its directly and indirectly owned subsidiaries, the “</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rPr>
        <w:t>”), each of the undersigned guarantors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and together with the Borrower, the “</w:t>
      </w:r>
      <w:r>
        <w:rPr>
          <w:rFonts w:ascii="Times New Roman" w:cs="Times New Roman" w:eastAsia="Times New Roman" w:hAnsi="Times New Roman"/>
          <w:sz w:val="21"/>
          <w:szCs w:val="21"/>
          <w:u w:val="single" w:color="auto"/>
          <w:color w:val="auto"/>
        </w:rPr>
        <w:t>Obligors</w:t>
      </w:r>
      <w:r>
        <w:rPr>
          <w:rFonts w:ascii="Times New Roman" w:cs="Times New Roman" w:eastAsia="Times New Roman" w:hAnsi="Times New Roman"/>
          <w:sz w:val="21"/>
          <w:szCs w:val="21"/>
          <w:color w:val="auto"/>
        </w:rPr>
        <w:t>”), and the lenders party hereto (the “</w:t>
      </w:r>
      <w:r>
        <w:rPr>
          <w:rFonts w:ascii="Times New Roman" w:cs="Times New Roman" w:eastAsia="Times New Roman" w:hAnsi="Times New Roman"/>
          <w:sz w:val="21"/>
          <w:szCs w:val="21"/>
          <w:u w:val="single" w:color="auto"/>
          <w:color w:val="auto"/>
        </w:rPr>
        <w:t>Forbearing Lenders</w:t>
      </w:r>
      <w:r>
        <w:rPr>
          <w:rFonts w:ascii="Times New Roman" w:cs="Times New Roman" w:eastAsia="Times New Roman" w:hAnsi="Times New Roman"/>
          <w:sz w:val="21"/>
          <w:szCs w:val="21"/>
          <w:color w:val="auto"/>
        </w:rPr>
        <w:t>”) and Natixis, New York Branch, as administrative agent and collateral agent (in such capacities,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under the Letter of Credit Facility Agreement (as defined below). All capitalized terms used but not otherwise defined herein shall have the meanings ascribed to them in the Letter of Credit Facility Agreement.</w:t>
      </w:r>
    </w:p>
    <w:p>
      <w:pPr>
        <w:spacing w:after="0" w:line="16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Guarantors, the Agent, the Issuing Banks and the Lenders (including the Forbearing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are parties to that certain Letter of Credit and Reimbursement Agreement, dated as of July 16, 2021 (as amended, restated, supplemented or otherwise modified from time to time, the “</w:t>
      </w:r>
      <w:r>
        <w:rPr>
          <w:rFonts w:ascii="Times New Roman" w:cs="Times New Roman" w:eastAsia="Times New Roman" w:hAnsi="Times New Roman"/>
          <w:sz w:val="22"/>
          <w:szCs w:val="22"/>
          <w:u w:val="single" w:color="auto"/>
          <w:color w:val="auto"/>
        </w:rPr>
        <w:t>Letter of Credit Facility Agreement</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entered into that certain Restructuring Support Agreement, by and between the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of its directly and indirectly owned subsidiaries, Kroll Issuer Services Limited, as information agent, and certain holders or lenders of, or the investment advisor or manager to a beneficial holder(s) or lender(s) of, the Group’s debt party thereto (as in effect on or prior to the Forbearance Effective Date (as defined below), together with the Restructuring Term Sheet (as defined therein), the “</w:t>
      </w:r>
      <w:r>
        <w:rPr>
          <w:rFonts w:ascii="Times New Roman" w:cs="Times New Roman" w:eastAsia="Times New Roman" w:hAnsi="Times New Roman"/>
          <w:sz w:val="22"/>
          <w:szCs w:val="22"/>
          <w:u w:val="single" w:color="auto"/>
          <w:color w:val="auto"/>
        </w:rPr>
        <w:t>RSA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part of the RSA, the Supporting Creditors (as defined in the RSA) will forbear from exercising all of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and remedies with respect to certain specified defaults listed on Schedule 2 thereto;</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Group has informed the Forbearing Lenders that certain Defaults or Events of Defaults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have occurred or may occur (each a “</w:t>
      </w:r>
      <w:r>
        <w:rPr>
          <w:rFonts w:ascii="Times New Roman" w:cs="Times New Roman" w:eastAsia="Times New Roman" w:hAnsi="Times New Roman"/>
          <w:sz w:val="22"/>
          <w:szCs w:val="22"/>
          <w:u w:val="single" w:color="auto"/>
          <w:color w:val="auto"/>
        </w:rPr>
        <w:t>Specified Default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Specified Defaults</w:t>
      </w:r>
      <w:r>
        <w:rPr>
          <w:rFonts w:ascii="Times New Roman" w:cs="Times New Roman" w:eastAsia="Times New Roman" w:hAnsi="Times New Roman"/>
          <w:sz w:val="22"/>
          <w:szCs w:val="22"/>
          <w:color w:val="auto"/>
        </w:rPr>
        <w:t>”) and requested that the Lenders will forbear from exercising all of their rights and remedies with respect to the Specified Defaults;</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Group and the Lenders have engaged in arm’s-length, good-faith negotiations regarding the terms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forbearance, including that such forbearance shall be effective solely during the Forbearance Period (as defined below) and solely with respect to the Specified Defaults;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7.1(b) of the Letter of Credit Facility Agreement, upon the occurrence of a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Default, the Required Lenders may instruct the Agent to declare all outstanding Reimbursement Obligations and interest thereon, together with all unpaid fees, costs, charges and other amounts due thereunder or under any other Loan Document, immediately due and payable (an “</w:t>
      </w:r>
      <w:r>
        <w:rPr>
          <w:rFonts w:ascii="Times New Roman" w:cs="Times New Roman" w:eastAsia="Times New Roman" w:hAnsi="Times New Roman"/>
          <w:sz w:val="22"/>
          <w:szCs w:val="22"/>
          <w:u w:val="single" w:color="auto"/>
          <w:color w:val="auto"/>
        </w:rPr>
        <w:t>Acceleration Event</w:t>
      </w:r>
      <w:r>
        <w:rPr>
          <w:rFonts w:ascii="Times New Roman" w:cs="Times New Roman" w:eastAsia="Times New Roman" w:hAnsi="Times New Roman"/>
          <w:sz w:val="22"/>
          <w:szCs w:val="22"/>
          <w:color w:val="auto"/>
        </w:rPr>
        <w:t>”), apply and demand Cash Collateral and exercise any and all other rights and remedies available under any of the Loan Documents and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20" w:right="339" w:bottom="1440" w:gutter="0" w:footer="0" w:header="0"/>
        </w:sectPr>
      </w:pPr>
    </w:p>
    <w:bookmarkStart w:id="160" w:name="page161"/>
    <w:bookmarkEnd w:id="160"/>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terms and conditions contained herein, the Forbearing Lenders and the Agent are prepared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forbear from exercising, and/or directing the Agent to, or requesting the Forbearing Lenders to consent to, exercise, or otherwise taking action to require any other Lenders to exercise or to direct the Agent to exercise, all of their rights and remedies under the Letter of Credit Facility Agreement and other applicable Loan Documents solely with respect to the Specified Defaults and solely during the Forbearance Period.</w:t>
      </w:r>
    </w:p>
    <w:p>
      <w:pPr>
        <w:spacing w:after="0" w:line="17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hereto agree as follows:</w:t>
      </w:r>
    </w:p>
    <w:p>
      <w:pPr>
        <w:spacing w:after="0" w:line="122" w:lineRule="exact"/>
        <w:rPr>
          <w:sz w:val="20"/>
          <w:szCs w:val="20"/>
          <w:color w:val="auto"/>
        </w:rPr>
      </w:pPr>
    </w:p>
    <w:p>
      <w:pPr>
        <w:jc w:val="center"/>
        <w:ind w:right="-19"/>
        <w:spacing w:after="0"/>
        <w:tabs>
          <w:tab w:leader="none" w:pos="420" w:val="left"/>
        </w:tabs>
        <w:rPr>
          <w:sz w:val="20"/>
          <w:szCs w:val="20"/>
          <w:color w:val="auto"/>
        </w:rPr>
      </w:pPr>
      <w:r>
        <w:rPr>
          <w:rFonts w:ascii="Times New Roman" w:cs="Times New Roman" w:eastAsia="Times New Roman" w:hAnsi="Times New Roman"/>
          <w:sz w:val="22"/>
          <w:szCs w:val="22"/>
          <w:b w:val="1"/>
          <w:bCs w:val="1"/>
          <w:color w:val="010000"/>
        </w:rPr>
        <w:t>Section I.</w:t>
      </w:r>
      <w:r>
        <w:rPr>
          <w:sz w:val="20"/>
          <w:szCs w:val="20"/>
          <w:color w:val="auto"/>
        </w:rPr>
        <w:tab/>
      </w:r>
      <w:r>
        <w:rPr>
          <w:rFonts w:ascii="Times New Roman" w:cs="Times New Roman" w:eastAsia="Times New Roman" w:hAnsi="Times New Roman"/>
          <w:sz w:val="21"/>
          <w:szCs w:val="21"/>
          <w:b w:val="1"/>
          <w:bCs w:val="1"/>
          <w:color w:val="auto"/>
        </w:rPr>
        <w:t>FORBEARANCE; WAIVER</w:t>
      </w:r>
    </w:p>
    <w:p>
      <w:pPr>
        <w:spacing w:after="0" w:line="18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Forbearance</w:t>
      </w:r>
      <w:r>
        <w:rPr>
          <w:rFonts w:ascii="Times New Roman" w:cs="Times New Roman" w:eastAsia="Times New Roman" w:hAnsi="Times New Roman"/>
          <w:sz w:val="22"/>
          <w:szCs w:val="22"/>
          <w:color w:val="auto"/>
        </w:rPr>
        <w:t>. During the Forbearance Period, each Forbearing Lender severally (and neither jointly nor jointly and severally) hereby agrees:</w:t>
      </w:r>
    </w:p>
    <w:p>
      <w:pPr>
        <w:spacing w:after="0" w:line="1" w:lineRule="exact"/>
        <w:rPr>
          <w:sz w:val="20"/>
          <w:szCs w:val="20"/>
          <w:color w:val="auto"/>
        </w:rPr>
      </w:pPr>
    </w:p>
    <w:p>
      <w:pPr>
        <w:jc w:val="both"/>
        <w:ind w:left="660" w:firstLine="644"/>
        <w:spacing w:after="0" w:line="214" w:lineRule="auto"/>
        <w:tabs>
          <w:tab w:leader="none" w:pos="1953" w:val="left"/>
        </w:tabs>
        <w:numPr>
          <w:ilvl w:val="1"/>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to forbear and refrain from exercising any of its rights and remedies, including with respect to an Acceleration Event, under the Letter of Credit Facility Agreement, other applicable Loan Documents or applicable law with respect to the Specified Defaults, (ii) to instruct the Agent to forbear from (and not consent to its) exercising any of its rights and remedies, including with respect to an Acceleration Event, under the Letter of Credit Facility Agreement, other applicable Loan Documents or applicable law with respect to the Specified Defaults, (iii) in the event that the Agent or any Lender of group of Lenders takes any action which results in an Acceleration Event with respect to the Specified Defaults during the Forbearance Period, to deliver, as soon as reasonably practicable after becoming aware of the occurrence of such action, written notice to the Agent to rescind such Acceleration Event and its consequences and take all other commercially reasonable action in its power to cause such Acceleration Event to be rescinded and annulled, and</w:t>
      </w:r>
    </w:p>
    <w:p>
      <w:pPr>
        <w:spacing w:after="0" w:line="6" w:lineRule="exact"/>
        <w:rPr>
          <w:rFonts w:ascii="Times New Roman" w:cs="Times New Roman" w:eastAsia="Times New Roman" w:hAnsi="Times New Roman"/>
          <w:sz w:val="21"/>
          <w:szCs w:val="21"/>
          <w:color w:val="010000"/>
        </w:rPr>
      </w:pPr>
    </w:p>
    <w:p>
      <w:pPr>
        <w:jc w:val="both"/>
        <w:ind w:left="660" w:hanging="4"/>
        <w:spacing w:after="0" w:line="228" w:lineRule="auto"/>
        <w:tabs>
          <w:tab w:leader="none" w:pos="105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it (individually or collectively) will not deliver any notice or instruction to the Agent directing the Agent to exercise any of the rights and remedies under the Letter of Credit Facility Agreement, other applicable Loan Documents or applicable law with respect to the Specified Defaults, or any consent to any such exercise of rights and remedies;</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18" w:lineRule="auto"/>
        <w:tabs>
          <w:tab w:leader="none" w:pos="1951" w:val="left"/>
        </w:tabs>
        <w:numPr>
          <w:ilvl w:val="1"/>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that, notwithstanding anything herein or in any Loan Document to the contrary, (i) the transactions contemplated by that certain document titled “Indicative Terms and Conditions for Operating Equipment Lease”, dated March 4, 2026 and delivered to the Agent’s counsel on March 8, 2026, are permitted in all respects, (ii) the transactions contemplated by that certain document titled “Term Sheet Summary of Principal Terms and Conditions,” relating to the loans under that certain EB-5 Loan Agreement, dated as of July 21, 2023 between ZeroPark I LLC and the lender referred to therein, dated March 13, 2026 and delivered to the Agent’s counsel on March 16, 2026, are permitted in all respects,</w:t>
      </w:r>
    </w:p>
    <w:p>
      <w:pPr>
        <w:spacing w:after="0" w:line="3" w:lineRule="exact"/>
        <w:rPr>
          <w:rFonts w:ascii="Times New Roman" w:cs="Times New Roman" w:eastAsia="Times New Roman" w:hAnsi="Times New Roman"/>
          <w:sz w:val="21"/>
          <w:szCs w:val="21"/>
          <w:color w:val="010000"/>
        </w:rPr>
      </w:pPr>
    </w:p>
    <w:p>
      <w:pPr>
        <w:jc w:val="both"/>
        <w:ind w:left="660" w:hanging="4"/>
        <w:spacing w:after="0" w:line="209" w:lineRule="auto"/>
        <w:tabs>
          <w:tab w:leader="none" w:pos="105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contemplated by that certain NFE Restructuring Support Agreement, dated as of March 8, 2026, by and between the charter entities and their affiliates party thereto, and the Borrower and certain of its affiliates party thereto, are permitted in all respects, (iv) consents to the formation of a new Subsidiary (“</w:t>
      </w:r>
      <w:r>
        <w:rPr>
          <w:rFonts w:ascii="Times New Roman" w:cs="Times New Roman" w:eastAsia="Times New Roman" w:hAnsi="Times New Roman"/>
          <w:sz w:val="22"/>
          <w:szCs w:val="22"/>
          <w:u w:val="single" w:color="auto"/>
          <w:color w:val="auto"/>
        </w:rPr>
        <w:t>BrazilCo PlanCo</w:t>
      </w:r>
      <w:r>
        <w:rPr>
          <w:rFonts w:ascii="Times New Roman" w:cs="Times New Roman" w:eastAsia="Times New Roman" w:hAnsi="Times New Roman"/>
          <w:sz w:val="22"/>
          <w:szCs w:val="22"/>
          <w:color w:val="auto"/>
        </w:rPr>
        <w:t>”) of NFE Financing LLC and the accession of the BrazilCo PlanCo to the New 2029 Notes Indenture as an additional guarantor thereunder, (v) none of the entities that is listed on Schedule 3 hereto (each entity in this clause, a “</w:t>
      </w:r>
      <w:r>
        <w:rPr>
          <w:rFonts w:ascii="Times New Roman" w:cs="Times New Roman" w:eastAsia="Times New Roman" w:hAnsi="Times New Roman"/>
          <w:sz w:val="22"/>
          <w:szCs w:val="22"/>
          <w:u w:val="single" w:color="auto"/>
          <w:color w:val="auto"/>
        </w:rPr>
        <w:t>Dissolving Entity</w:t>
      </w:r>
      <w:r>
        <w:rPr>
          <w:rFonts w:ascii="Times New Roman" w:cs="Times New Roman" w:eastAsia="Times New Roman" w:hAnsi="Times New Roman"/>
          <w:sz w:val="22"/>
          <w:szCs w:val="22"/>
          <w:color w:val="auto"/>
        </w:rPr>
        <w:t xml:space="preserve">”) as such Schedule is initially populated (if at all) and may be updated from time to time by the Borrower, to the extent permitted and not otherwise prohibited by the RSA shall be required to be a guarantor under the New CoreCo Credit Agreement (as defined in the RSA) on the Agreement Effective Date or the Restructuring Effective Date (each as defined in the RSA);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each Dissolving Entity organized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18" w:right="339" w:bottom="1440" w:gutter="0" w:footer="0" w:header="0"/>
        </w:sectPr>
      </w:pPr>
    </w:p>
    <w:bookmarkStart w:id="161" w:name="page162"/>
    <w:bookmarkEnd w:id="161"/>
    <w:p>
      <w:pPr>
        <w:jc w:val="both"/>
        <w:ind w:left="660"/>
        <w:spacing w:after="0" w:line="219" w:lineRule="auto"/>
        <w:rPr>
          <w:sz w:val="20"/>
          <w:szCs w:val="20"/>
          <w:color w:val="auto"/>
        </w:rPr>
      </w:pPr>
      <w:r>
        <w:rPr>
          <w:rFonts w:ascii="Times New Roman" w:cs="Times New Roman" w:eastAsia="Times New Roman" w:hAnsi="Times New Roman"/>
          <w:sz w:val="21"/>
          <w:szCs w:val="21"/>
          <w:color w:val="auto"/>
        </w:rPr>
        <w:t>the United States shall be dissolved or otherwise wound up on or prior to the date that is 30 days from the Restructuring Effective Date and, each Dissolving Entity organized outside the United States shall be dissolved or otherwise wound up or the paperwork to dissolve or wind up shall have been filed on or prior to the date that is 60 days from the Restructuring Effective Date (each, respectively, a “</w:t>
      </w:r>
      <w:r>
        <w:rPr>
          <w:rFonts w:ascii="Times New Roman" w:cs="Times New Roman" w:eastAsia="Times New Roman" w:hAnsi="Times New Roman"/>
          <w:sz w:val="21"/>
          <w:szCs w:val="21"/>
          <w:u w:val="single" w:color="auto"/>
          <w:color w:val="auto"/>
        </w:rPr>
        <w:t>Dissolution Deadline</w:t>
      </w:r>
      <w:r>
        <w:rPr>
          <w:rFonts w:ascii="Times New Roman" w:cs="Times New Roman" w:eastAsia="Times New Roman" w:hAnsi="Times New Roman"/>
          <w:sz w:val="21"/>
          <w:szCs w:val="21"/>
          <w:color w:val="auto"/>
        </w:rPr>
        <w:t xml:space="preserve">”), and (2) any Dissolving Entity that is not dissolved, wound up or for which the paper work has not been filed by the Dissolution Deadline shall become a guarantor under the New CoreCo Credit Agreement within 60 days thereafter in accordance with the guaranty and collateral requirements set forth therein (it being understood and agreed that any Dissolving Entity may be wound up prior to the Restructuring Effective Date), and (vi) the Subsidiaries that are listed on Schedule 3 as initially populated (if at all) and identified as a “Migrating Entity” therein (as may be updated from time to time by the Borrower, to the extent permitted and not otherwise prohibited by the RSA) may be migrated to, re-domiciled to or otherwise converted to an entity in any jurisdiction of organization of any other guarantor under the New CoreCo Credit Agreement on or prior to the date that is 60 days after the Restructuring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Migrating Entity shall become a guarantor under the New CoreCo Credit Agreement within 60 days thereafter in accordance with the guaranty and collateral requirements set forth therein, in each case of the foregoing clauses (i) through (vi), on terms and conditions as set forth in the RSA; and</w:t>
      </w:r>
    </w:p>
    <w:p>
      <w:pPr>
        <w:spacing w:after="0" w:line="155" w:lineRule="exact"/>
        <w:rPr>
          <w:sz w:val="20"/>
          <w:szCs w:val="20"/>
          <w:color w:val="auto"/>
        </w:rPr>
      </w:pPr>
    </w:p>
    <w:p>
      <w:pPr>
        <w:jc w:val="both"/>
        <w:ind w:left="660" w:firstLine="644"/>
        <w:spacing w:after="0" w:line="225" w:lineRule="auto"/>
        <w:tabs>
          <w:tab w:leader="none" w:pos="1953"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without limiting any consents that have been provided in respect of any Loan Document prior to the date hereof, the covenants set forth in Section 5 of that certain Thirteenth Amendment Agreement shall no longer have any force or effect.</w:t>
      </w:r>
    </w:p>
    <w:p>
      <w:pPr>
        <w:spacing w:after="0" w:line="179" w:lineRule="exact"/>
        <w:rPr>
          <w:rFonts w:ascii="Times New Roman" w:cs="Times New Roman" w:eastAsia="Times New Roman" w:hAnsi="Times New Roman"/>
          <w:sz w:val="22"/>
          <w:szCs w:val="22"/>
          <w:color w:val="010000"/>
        </w:rPr>
      </w:pPr>
    </w:p>
    <w:p>
      <w:pPr>
        <w:jc w:val="both"/>
        <w:ind w:firstLine="8"/>
        <w:spacing w:after="0" w:line="268" w:lineRule="auto"/>
        <w:tabs>
          <w:tab w:leader="none" w:pos="64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or any other provision herein to the contrary, neither this Agreement nor any of the agreements or undertakings hereunder shall in any way alter, delay or otherwise impede the automatic acceleration of the Obligations, in accordance with Section 7.1(b)(i) of the Letter of Credit Facility Agreement, upon the occurrence of an Event of Default under Section 7.1(a)(7) (other than with respect to clause (v) thereof) or Section 7.1(a)(8) of the Letter of Credit Facility Agreement in respect of the Borrower without any further act of the Agent, any Issuing Bank, any Lender or any other Person.</w:t>
      </w:r>
    </w:p>
    <w:p>
      <w:pPr>
        <w:spacing w:after="0" w:line="137"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Forbearance Period</w:t>
      </w:r>
      <w:r>
        <w:rPr>
          <w:rFonts w:ascii="Times New Roman" w:cs="Times New Roman" w:eastAsia="Times New Roman" w:hAnsi="Times New Roman"/>
          <w:sz w:val="22"/>
          <w:szCs w:val="22"/>
          <w:color w:val="auto"/>
        </w:rPr>
        <w:t>. The forbearance set forth in this Agreement shall commence on the Forbearance Effective Date and continue until the earlier of (a) September 15, 2026 (the “</w:t>
      </w:r>
      <w:r>
        <w:rPr>
          <w:rFonts w:ascii="Times New Roman" w:cs="Times New Roman" w:eastAsia="Times New Roman" w:hAnsi="Times New Roman"/>
          <w:sz w:val="22"/>
          <w:szCs w:val="22"/>
          <w:u w:val="single" w:color="auto"/>
          <w:color w:val="auto"/>
        </w:rPr>
        <w:t>Scheduled Termination Date</w:t>
      </w:r>
      <w:r>
        <w:rPr>
          <w:rFonts w:ascii="Times New Roman" w:cs="Times New Roman" w:eastAsia="Times New Roman" w:hAnsi="Times New Roman"/>
          <w:sz w:val="22"/>
          <w:szCs w:val="22"/>
          <w:color w:val="auto"/>
        </w:rPr>
        <w:t xml:space="preserve">”) and (b) the date on which the Forbearance Period is terminated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below (the earlier of (a) and (b),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and the period commencing on the Forbearance Effective Date and ending on the Termination Date, the “</w:t>
      </w:r>
      <w:r>
        <w:rPr>
          <w:rFonts w:ascii="Times New Roman" w:cs="Times New Roman" w:eastAsia="Times New Roman" w:hAnsi="Times New Roman"/>
          <w:sz w:val="22"/>
          <w:szCs w:val="22"/>
          <w:u w:val="single" w:color="auto"/>
          <w:color w:val="auto"/>
        </w:rPr>
        <w:t>Forbearance Period</w:t>
      </w:r>
      <w:r>
        <w:rPr>
          <w:rFonts w:ascii="Times New Roman" w:cs="Times New Roman" w:eastAsia="Times New Roman" w:hAnsi="Times New Roman"/>
          <w:sz w:val="22"/>
          <w:szCs w:val="22"/>
          <w:color w:val="auto"/>
        </w:rPr>
        <w:t>”). From and after the Termination Date, such forbearance shall immediately and automatically terminate and have no further force or effect, and each of the Forbearing Lenders and the Agent shall be released from any and all obligations and agreements under this Agreement and shall be entitled to exercise any of the rights and remedies as if this Agreement had never existed, and all of the rights and remedies under the Letter of Credit Facility Agreement and at law and in equity shall be available without restriction or modification, as if such forbearance had not occurred.</w:t>
      </w:r>
    </w:p>
    <w:p>
      <w:pPr>
        <w:spacing w:after="0" w:line="4"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Effect of Forbearance</w:t>
      </w:r>
      <w:r>
        <w:rPr>
          <w:rFonts w:ascii="Times New Roman" w:cs="Times New Roman" w:eastAsia="Times New Roman" w:hAnsi="Times New Roman"/>
          <w:sz w:val="22"/>
          <w:szCs w:val="22"/>
          <w:color w:val="auto"/>
        </w:rPr>
        <w:t>. Except as expressly set forth herein, neither any Forbearing Lender nor the Agent has waived (regardless of any delay in exercising such rights and remedies) any default or Event of Default that may be continuing on the Forbearance Effective Date or any default or Event of Default that may occur after the Forbearance Effective Date (whether the same or similar to the Specified Defaults or otherwise), and neither any Forbearing Lender nor the Agent has agreed to forbear with respect to any of its rights or remedies concerning any default or Event of Default (other than, during the Forbearance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395" w:right="339" w:bottom="1440" w:gutter="0" w:footer="0" w:header="0"/>
        </w:sectPr>
      </w:pPr>
    </w:p>
    <w:bookmarkStart w:id="162" w:name="page163"/>
    <w:bookmarkEnd w:id="162"/>
    <w:p>
      <w:pPr>
        <w:jc w:val="both"/>
        <w:spacing w:after="0" w:line="211" w:lineRule="auto"/>
        <w:rPr>
          <w:sz w:val="20"/>
          <w:szCs w:val="20"/>
          <w:color w:val="auto"/>
        </w:rPr>
      </w:pPr>
      <w:r>
        <w:rPr>
          <w:rFonts w:ascii="Times New Roman" w:cs="Times New Roman" w:eastAsia="Times New Roman" w:hAnsi="Times New Roman"/>
          <w:sz w:val="22"/>
          <w:szCs w:val="22"/>
          <w:color w:val="auto"/>
        </w:rPr>
        <w:t>the Specified Defaults and solely to the extent expressly set forth herein) that may have occurred or be continuing as of the Forbearance Effective Date, or that may occur after the Forbearance Effective Date. Except as expressly set forth herein, each Forbearing Lender and the Agent reserves all of its rights, powers, and remedies under the Letter of Credit Facility Agreement, the other Loan Documents and applicable law. Except as (and solely to the extent and with respect to the matters) expressly set forth herein, the execution, delivery and effectiveness of this Agreement shall not directly or indirectly constitute a course of dealing or other basis for altering the Letter of Credit Facility Agreement or any other contract, agreement or instrument. The Forbearing Lenders’ and the Agent’s agreement to forbear from exercising (and to waive temporarily) certain of their rights and remedies with respect to the Specified Defaults during the Forbearance Period does not in any manner whatsoever limit any Forbearing Lender’s or the Agent’s right to insist upon strict compliance with the Letter of Credit Facility Agreement and the other Loan Documents (except to the extent expressly set forth herein).</w:t>
      </w:r>
    </w:p>
    <w:p>
      <w:pPr>
        <w:spacing w:after="0" w:line="148" w:lineRule="exact"/>
        <w:rPr>
          <w:sz w:val="20"/>
          <w:szCs w:val="20"/>
          <w:color w:val="auto"/>
        </w:rPr>
      </w:pPr>
    </w:p>
    <w:p>
      <w:pPr>
        <w:jc w:val="center"/>
        <w:ind w:right="-19"/>
        <w:spacing w:after="0"/>
        <w:tabs>
          <w:tab w:leader="none" w:pos="320" w:val="left"/>
        </w:tabs>
        <w:rPr>
          <w:sz w:val="20"/>
          <w:szCs w:val="20"/>
          <w:color w:val="auto"/>
        </w:rPr>
      </w:pPr>
      <w:r>
        <w:rPr>
          <w:rFonts w:ascii="Times New Roman" w:cs="Times New Roman" w:eastAsia="Times New Roman" w:hAnsi="Times New Roman"/>
          <w:sz w:val="22"/>
          <w:szCs w:val="22"/>
          <w:b w:val="1"/>
          <w:bCs w:val="1"/>
          <w:color w:val="010000"/>
        </w:rPr>
        <w:t>Section II.</w:t>
      </w:r>
      <w:r>
        <w:rPr>
          <w:sz w:val="20"/>
          <w:szCs w:val="20"/>
          <w:color w:val="auto"/>
        </w:rPr>
        <w:tab/>
      </w:r>
      <w:r>
        <w:rPr>
          <w:rFonts w:ascii="Times New Roman" w:cs="Times New Roman" w:eastAsia="Times New Roman" w:hAnsi="Times New Roman"/>
          <w:sz w:val="21"/>
          <w:szCs w:val="21"/>
          <w:b w:val="1"/>
          <w:bCs w:val="1"/>
          <w:color w:val="auto"/>
        </w:rPr>
        <w:t>EVENTS OF TERMINATION</w:t>
      </w:r>
    </w:p>
    <w:p>
      <w:pPr>
        <w:spacing w:after="0" w:line="17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Events of Termination</w:t>
      </w:r>
      <w:r>
        <w:rPr>
          <w:rFonts w:ascii="Times New Roman" w:cs="Times New Roman" w:eastAsia="Times New Roman" w:hAnsi="Times New Roman"/>
          <w:sz w:val="21"/>
          <w:szCs w:val="21"/>
          <w:color w:val="auto"/>
        </w:rPr>
        <w:t>. The following events shall each be considered an “</w:t>
      </w:r>
      <w:r>
        <w:rPr>
          <w:rFonts w:ascii="Times New Roman" w:cs="Times New Roman" w:eastAsia="Times New Roman" w:hAnsi="Times New Roman"/>
          <w:sz w:val="21"/>
          <w:szCs w:val="21"/>
          <w:u w:val="single" w:color="auto"/>
          <w:color w:val="auto"/>
        </w:rPr>
        <w:t>Event of Termination</w:t>
      </w:r>
      <w:r>
        <w:rPr>
          <w:rFonts w:ascii="Times New Roman" w:cs="Times New Roman" w:eastAsia="Times New Roman" w:hAnsi="Times New Roman"/>
          <w:sz w:val="21"/>
          <w:szCs w:val="21"/>
          <w:color w:val="auto"/>
        </w:rPr>
        <w:t>”:</w:t>
      </w:r>
    </w:p>
    <w:p>
      <w:pPr>
        <w:jc w:val="both"/>
        <w:ind w:left="660" w:firstLine="644"/>
        <w:spacing w:after="0" w:line="214" w:lineRule="auto"/>
        <w:tabs>
          <w:tab w:leader="none" w:pos="1953"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case under title 11 of the United States Code or any reorganization, liquidation, insolvency, or receivership proceeding under applicable law of any jurisdiction is commenced by or against the Obligors or a subsidiary of the Obligors, or the occurrence of any other event or circumstance referred to in Section 7.1(a)(7) (other than clause (v) thereof) or Section 7.1(a)(8) of the Letter of Credit Facility Agreement;</w:t>
      </w:r>
    </w:p>
    <w:p>
      <w:pPr>
        <w:spacing w:after="0" w:line="153"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on which the RSA is terminated as to all parties thereto;</w:t>
      </w:r>
    </w:p>
    <w:p>
      <w:pPr>
        <w:spacing w:after="0" w:line="179" w:lineRule="exact"/>
        <w:rPr>
          <w:rFonts w:ascii="Times New Roman" w:cs="Times New Roman" w:eastAsia="Times New Roman" w:hAnsi="Times New Roman"/>
          <w:sz w:val="22"/>
          <w:szCs w:val="22"/>
          <w:color w:val="010000"/>
        </w:rPr>
      </w:pPr>
    </w:p>
    <w:p>
      <w:pPr>
        <w:jc w:val="both"/>
        <w:ind w:left="660" w:right="20" w:firstLine="644"/>
        <w:spacing w:after="0" w:line="220" w:lineRule="auto"/>
        <w:tabs>
          <w:tab w:leader="none" w:pos="1953"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RSA, the Definitive Documents (as defined in the RSA) or the implementation documents identified in Section 10(f) of the RSA shall be modified in any way that would (in the reasonable opinion of the Agent) disproportionately and adversely affect any Agent, Issuing Bank or Lender under and as defined in the Letter of Credit Facility Agreement;</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failure of the Obligors to timely comply with any of the terms set forth in this Agreement;</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LC Disbursement shall be made pursuant to a Letter of Credit by an Issuing Bank; or</w:t>
      </w:r>
    </w:p>
    <w:p>
      <w:pPr>
        <w:spacing w:after="0" w:line="177"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occurrence of an Event of Default, other than the Specified Defaults, under the Letter of Credit Facility</w:t>
      </w: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Occurrence of an Event of Termination</w:t>
      </w:r>
      <w:r>
        <w:rPr>
          <w:rFonts w:ascii="Times New Roman" w:cs="Times New Roman" w:eastAsia="Times New Roman" w:hAnsi="Times New Roman"/>
          <w:sz w:val="22"/>
          <w:szCs w:val="22"/>
          <w:color w:val="auto"/>
        </w:rPr>
        <w:t xml:space="preserve">. The Forbearance Period shall terminate (a) automatically (i) on the Scheduled Termination Date or (ii) in the event of an occurrence of an Event of Termination described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and (b) upon written notice of termination to the Borrower by the Forbearing Lenders holding more than fifty percent (50%) of (i) the Total LC Commitment of Forbearing Lenders or (ii) if all LC Commitments of Forbearing Lenders have been terminated or otherwise reduced to zero, the aggregate amount of all LC Exposure of Forbearing Lenders then outstanding (disregarding, in each case, the LC Commitment and LC Exposure of any Defaulting Lender that is a Forbearing Lender, collectively, the “</w:t>
      </w:r>
      <w:r>
        <w:rPr>
          <w:rFonts w:ascii="Times New Roman" w:cs="Times New Roman" w:eastAsia="Times New Roman" w:hAnsi="Times New Roman"/>
          <w:sz w:val="22"/>
          <w:szCs w:val="22"/>
          <w:u w:val="single" w:color="auto"/>
          <w:color w:val="auto"/>
        </w:rPr>
        <w:t>Required Forbearing Lenders</w:t>
      </w:r>
      <w:r>
        <w:rPr>
          <w:rFonts w:ascii="Times New Roman" w:cs="Times New Roman" w:eastAsia="Times New Roman" w:hAnsi="Times New Roman"/>
          <w:sz w:val="22"/>
          <w:szCs w:val="22"/>
          <w:color w:val="auto"/>
        </w:rPr>
        <w:t xml:space="preserve">”) in the event of an occurrence of an Event of Termination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2.01(e)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2.01(f)</w:t>
      </w:r>
      <w:r>
        <w:rPr>
          <w:rFonts w:ascii="Times New Roman" w:cs="Times New Roman" w:eastAsia="Times New Roman" w:hAnsi="Times New Roman"/>
          <w:sz w:val="22"/>
          <w:szCs w:val="22"/>
          <w:color w:val="auto"/>
        </w:rPr>
        <w:t xml:space="preserve"> if such Event of Termination has not been cured within five days of delivery of written notice to the Borrower by the Required Forbearing Lenders of such Event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395" w:right="339" w:bottom="1440" w:gutter="0" w:footer="0" w:header="0"/>
        </w:sectPr>
      </w:pPr>
    </w:p>
    <w:bookmarkStart w:id="163" w:name="page164"/>
    <w:bookmarkEnd w:id="163"/>
    <w:p>
      <w:pPr>
        <w:jc w:val="center"/>
        <w:ind w:right="-19"/>
        <w:spacing w:after="0"/>
        <w:tabs>
          <w:tab w:leader="none" w:pos="240" w:val="left"/>
        </w:tabs>
        <w:rPr>
          <w:sz w:val="20"/>
          <w:szCs w:val="20"/>
          <w:color w:val="auto"/>
        </w:rPr>
      </w:pPr>
      <w:r>
        <w:rPr>
          <w:rFonts w:ascii="Times New Roman" w:cs="Times New Roman" w:eastAsia="Times New Roman" w:hAnsi="Times New Roman"/>
          <w:sz w:val="22"/>
          <w:szCs w:val="22"/>
          <w:b w:val="1"/>
          <w:bCs w:val="1"/>
          <w:color w:val="010000"/>
        </w:rPr>
        <w:t>Section III.</w:t>
      </w:r>
      <w:r>
        <w:rPr>
          <w:sz w:val="20"/>
          <w:szCs w:val="20"/>
          <w:color w:val="auto"/>
        </w:rPr>
        <w:tab/>
      </w:r>
      <w:r>
        <w:rPr>
          <w:rFonts w:ascii="Times New Roman" w:cs="Times New Roman" w:eastAsia="Times New Roman" w:hAnsi="Times New Roman"/>
          <w:sz w:val="21"/>
          <w:szCs w:val="21"/>
          <w:b w:val="1"/>
          <w:bCs w:val="1"/>
          <w:color w:val="auto"/>
        </w:rPr>
        <w:t>REPRESENTATIONS AND WARRANTIES AND AGREEMENTS</w:t>
      </w:r>
    </w:p>
    <w:p>
      <w:pPr>
        <w:spacing w:after="0" w:line="18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Representations and Warranties of the Obligors</w:t>
      </w:r>
      <w:r>
        <w:rPr>
          <w:rFonts w:ascii="Times New Roman" w:cs="Times New Roman" w:eastAsia="Times New Roman" w:hAnsi="Times New Roman"/>
          <w:sz w:val="22"/>
          <w:szCs w:val="22"/>
          <w:color w:val="auto"/>
        </w:rPr>
        <w:t>. In consideration of the foregoing agreements, the Obligors hereby represent and warrant to each Forbearing Lender as follows:</w:t>
      </w:r>
    </w:p>
    <w:p>
      <w:pPr>
        <w:spacing w:after="0" w:line="150" w:lineRule="exact"/>
        <w:rPr>
          <w:sz w:val="20"/>
          <w:szCs w:val="20"/>
          <w:color w:val="auto"/>
        </w:rPr>
      </w:pPr>
    </w:p>
    <w:p>
      <w:pPr>
        <w:jc w:val="both"/>
        <w:ind w:left="660" w:firstLine="644"/>
        <w:spacing w:after="0" w:line="217" w:lineRule="auto"/>
        <w:tabs>
          <w:tab w:leader="none" w:pos="1953"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the Letter of Credit Facility Agreement, and the other Loan Documents constitute valid and legally binding agreements, enforceable against the Obligors, as applicable,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Obligors is duly organized, validly existing and in good standing under the laws of the jurisdiction of its organization and has all requisite power and authority to own and operate its properties, to carry on its business as now conducted and to enter into and, as applicable, perform its obligations hereunder and under the Letter of Credit Facility Agreement and the other Loan Documents.</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3"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the Letter of Credit Facility Agreement and the other Loan Documents have been duly and validly authorized by the Obligors and has been duly executed and delivered by the Obligors.</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date hereof, except for the Specified Defaults (and the Defaults giving rise thereto), no Default or Event of Default has occurred or is continuing under this Agreement or the Letter of Credit Facility Agreement.</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3"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Forbearance Effective Date, except for the specified defaults set forth in the RSA with respect to any Debt Agreement (and the Defaults (as defined in such Debt Agreement) giving rise thereto), no Default or Event of Default (as defined in such Debt Agreement) has occurred or is continuing under such Debt Agreement.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Section 3.02 The parties to this Agreement acknowledge that (a) nothing in this Agreement, including the presentation of drafts from one party to another, constitutes the making of an offer to sell or the solicitation of an offer to buy securities or loans of any kind or the solicitation of a consent or waiver of any rights under the Letter of Credit Facility Agreement and (b) the entry into this Agreement shall not constitute, directly or indirectly, a waiver, an amendment, an incurrence, a refinancing, an extension or a modification in any way of any debt or a recapitalization or restructuring in any way of the obligations of the Obligors.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3.03 The Forbearing Lenders and the Agent have not made any assurances concerning (a) the manner in which or whether any Event of Default may be resolved or (b) any additional forbearance or any waiver, restructuring or other accommodations.</w:t>
      </w:r>
    </w:p>
    <w:p>
      <w:pPr>
        <w:spacing w:after="0" w:line="148"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22"/>
          <w:szCs w:val="22"/>
          <w:b w:val="1"/>
          <w:bCs w:val="1"/>
          <w:color w:val="010000"/>
        </w:rPr>
        <w:t>Section IV.</w:t>
      </w:r>
      <w:r>
        <w:rPr>
          <w:sz w:val="20"/>
          <w:szCs w:val="20"/>
          <w:color w:val="auto"/>
        </w:rPr>
        <w:tab/>
      </w:r>
      <w:r>
        <w:rPr>
          <w:rFonts w:ascii="Times New Roman" w:cs="Times New Roman" w:eastAsia="Times New Roman" w:hAnsi="Times New Roman"/>
          <w:sz w:val="21"/>
          <w:szCs w:val="21"/>
          <w:b w:val="1"/>
          <w:bCs w:val="1"/>
          <w:color w:val="auto"/>
        </w:rPr>
        <w:t>CONDITIONS TO EFFECTIVENESS</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This Agreement shall become effective on the first date (the “</w:t>
      </w:r>
      <w:r>
        <w:rPr>
          <w:rFonts w:ascii="Times New Roman" w:cs="Times New Roman" w:eastAsia="Times New Roman" w:hAnsi="Times New Roman"/>
          <w:sz w:val="22"/>
          <w:szCs w:val="22"/>
          <w:u w:val="single" w:color="auto"/>
          <w:color w:val="auto"/>
        </w:rPr>
        <w:t>Forbearance Effective Date</w:t>
      </w:r>
      <w:r>
        <w:rPr>
          <w:rFonts w:ascii="Times New Roman" w:cs="Times New Roman" w:eastAsia="Times New Roman" w:hAnsi="Times New Roman"/>
          <w:sz w:val="22"/>
          <w:szCs w:val="22"/>
          <w:color w:val="auto"/>
        </w:rPr>
        <w:t>”) that all of the following conditions precedent have been and will continue to be satisfied (or waived by the Forbearing Lenders):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Execution of this Agreement</w:t>
      </w:r>
      <w:r>
        <w:rPr>
          <w:rFonts w:ascii="Times New Roman" w:cs="Times New Roman" w:eastAsia="Times New Roman" w:hAnsi="Times New Roman"/>
          <w:sz w:val="22"/>
          <w:szCs w:val="22"/>
          <w:color w:val="auto"/>
        </w:rPr>
        <w:t>. The parties to this Agreement shall have received counterparts of this Agreement duly executed by (i) the Obligors, (ii) the Agent and (iii) Forbearing Lenders constituting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391" w:right="339" w:bottom="1440" w:gutter="0" w:footer="0" w:header="0"/>
        </w:sectPr>
      </w:pPr>
    </w:p>
    <w:bookmarkStart w:id="164" w:name="page165"/>
    <w:bookmarkEnd w:id="164"/>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RSA</w:t>
      </w:r>
      <w:r>
        <w:rPr>
          <w:rFonts w:ascii="Times New Roman" w:cs="Times New Roman" w:eastAsia="Times New Roman" w:hAnsi="Times New Roman"/>
          <w:sz w:val="22"/>
          <w:szCs w:val="22"/>
          <w:color w:val="auto"/>
        </w:rPr>
        <w:t>. The RSA shall be in full force and effect and remain unchanged since the date thereof in any manner that would (in the reasonable opinion of the Agent) adversely affect any Agent, Issuing Bank or Lender under and as defined in the Letter of Credit Facility Agreement.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contained herein shall be true and correct in all respects, and no Default or Event of Default (other than the Specified Defaults) shall exist on the date hereof or on the Forbearance Effective Date.</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The Obligors shall have reimbursed or paid all accrued and unpaid expenses of the Agent, including the reasonable and documented fees, charges and disbursements of Steptoe LLP, as counsel to the Agent, and RPA Advisors, LLC as Lender Advisor.</w:t>
      </w:r>
    </w:p>
    <w:p>
      <w:pPr>
        <w:spacing w:after="0" w:line="148"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22"/>
          <w:szCs w:val="22"/>
          <w:b w:val="1"/>
          <w:bCs w:val="1"/>
          <w:color w:val="010000"/>
        </w:rPr>
        <w:t>Section V.</w:t>
      </w:r>
      <w:r>
        <w:rPr>
          <w:sz w:val="20"/>
          <w:szCs w:val="20"/>
          <w:color w:val="auto"/>
        </w:rPr>
        <w:tab/>
      </w:r>
      <w:r>
        <w:rPr>
          <w:rFonts w:ascii="Times New Roman" w:cs="Times New Roman" w:eastAsia="Times New Roman" w:hAnsi="Times New Roman"/>
          <w:sz w:val="21"/>
          <w:szCs w:val="21"/>
          <w:b w:val="1"/>
          <w:bCs w:val="1"/>
          <w:color w:val="auto"/>
        </w:rPr>
        <w:t>COVENANTS</w:t>
      </w:r>
    </w:p>
    <w:p>
      <w:pPr>
        <w:spacing w:after="0" w:line="18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From the Forbearance Effective Date until the Termination Date, to the extent permitted by law and subject to the other terms hereof:</w:t>
      </w:r>
    </w:p>
    <w:p>
      <w:pPr>
        <w:spacing w:after="0" w:line="1" w:lineRule="exact"/>
        <w:rPr>
          <w:sz w:val="20"/>
          <w:szCs w:val="20"/>
          <w:color w:val="auto"/>
        </w:rPr>
      </w:pPr>
    </w:p>
    <w:p>
      <w:pPr>
        <w:jc w:val="both"/>
        <w:ind w:left="660" w:firstLine="644"/>
        <w:spacing w:after="0" w:line="214" w:lineRule="auto"/>
        <w:tabs>
          <w:tab w:leader="none" w:pos="1953"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Forbearing Lender, severally (and neither jointly nor jointly and severally) and each Obligor, jointly and severally, in each case, agrees and covenants to use commercially reasonable efforts to promptly take all actions which it is able to take and which are reasonably necessary to support, facilitate, implement, consummate or otherwise give effect to this Agreement;</w:t>
      </w:r>
    </w:p>
    <w:p>
      <w:pPr>
        <w:spacing w:after="0" w:line="153" w:lineRule="exact"/>
        <w:rPr>
          <w:rFonts w:ascii="Times New Roman" w:cs="Times New Roman" w:eastAsia="Times New Roman" w:hAnsi="Times New Roman"/>
          <w:sz w:val="22"/>
          <w:szCs w:val="22"/>
          <w:color w:val="010000"/>
        </w:rPr>
      </w:pPr>
    </w:p>
    <w:p>
      <w:pPr>
        <w:jc w:val="both"/>
        <w:ind w:left="660" w:firstLine="644"/>
        <w:spacing w:after="0" w:line="211" w:lineRule="auto"/>
        <w:tabs>
          <w:tab w:leader="none" w:pos="1951"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Forbearing Lender, severally (and neither jointly nor jointly and severally) agrees and covenants to from time to time execute and deliver, or cause to be executed and delivered, such additional instruments, certificates or documents, and take such actions, as the Company may reasonably request in connection with the consents described in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(provided, for the avoidance of doubt, that such instruments, certificates or documents are on terms not less favorable to the Forbearing Lenders than those provided by the Supporting Creditors pursuant to Section 2(b)(2) of the RSA to the extent a request is made of such Supporting Creditor), in each case, for the purposes of giving full effect to such arrangements (including directing the Agent to execute and deliver, or to cause the execution and delivery of, all applications, certifications, instruments and other documents and papers that the Borrower may be reasonably required to obtain from the Agent or any Lender under and as defined in the Letter of Credit Facility Agreement); and</w:t>
      </w:r>
    </w:p>
    <w:p>
      <w:pPr>
        <w:spacing w:after="0" w:line="158" w:lineRule="exact"/>
        <w:rPr>
          <w:rFonts w:ascii="Times New Roman" w:cs="Times New Roman" w:eastAsia="Times New Roman" w:hAnsi="Times New Roman"/>
          <w:sz w:val="22"/>
          <w:szCs w:val="22"/>
          <w:color w:val="010000"/>
        </w:rPr>
      </w:pPr>
    </w:p>
    <w:p>
      <w:pPr>
        <w:jc w:val="both"/>
        <w:ind w:left="660" w:firstLine="644"/>
        <w:spacing w:after="0" w:line="211" w:lineRule="auto"/>
        <w:tabs>
          <w:tab w:leader="none" w:pos="1953"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unless otherwise consented to by the Required Lenders, each Obligor, jointly and severally, agrees and covenants to comply with the undertakings of the Obligors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hereto; provided that any consent, waiver or other modification with respect to any undertaking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hereto that is made in connection with the RSA in accordance with the terms of the RSA, shall be deemed to constitute a consent to the same extent provided by (i) the Administrative Agent and the Required Lenders in accordance with the terms of the Letter of Credit Facility Agreement, unless such consent would disproportionately and adversely affect any Agent, Issuing Bank or Lender under and as defined in the Letter of Credit Facility Agreement and (ii) the Required Forbearing Lenders in accordance with the terms of this Agreement, unless such consent would disproportionately and adversely affect any Forbearing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395" w:right="339" w:bottom="1440" w:gutter="0" w:footer="0" w:header="0"/>
        </w:sectPr>
      </w:pPr>
    </w:p>
    <w:bookmarkStart w:id="165" w:name="page166"/>
    <w:bookmarkEnd w:id="165"/>
    <w:p>
      <w:pPr>
        <w:jc w:val="center"/>
        <w:ind w:right="-19"/>
        <w:spacing w:after="0"/>
        <w:tabs>
          <w:tab w:leader="none" w:pos="240" w:val="left"/>
        </w:tabs>
        <w:rPr>
          <w:sz w:val="20"/>
          <w:szCs w:val="20"/>
          <w:color w:val="auto"/>
        </w:rPr>
      </w:pPr>
      <w:r>
        <w:rPr>
          <w:rFonts w:ascii="Times New Roman" w:cs="Times New Roman" w:eastAsia="Times New Roman" w:hAnsi="Times New Roman"/>
          <w:sz w:val="22"/>
          <w:szCs w:val="22"/>
          <w:b w:val="1"/>
          <w:bCs w:val="1"/>
          <w:color w:val="010000"/>
        </w:rPr>
        <w:t>Section VI.</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8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and delivered in any number of counterparts with the same effect as if the signatures on each counterpart were upon the same instrument. Any counterpart delivered by facsimile or by other electronic method of transmission shall be deemed an original signature hereto.</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Nothing in this Agreement is intended, or shall be construed, to supersede Section 9.14 of the Letter of Credit Facility Agreement.</w:t>
      </w:r>
    </w:p>
    <w:p>
      <w:pPr>
        <w:ind w:left="660"/>
        <w:spacing w:after="0" w:line="216" w:lineRule="auto"/>
        <w:tabs>
          <w:tab w:leader="none" w:pos="19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Interpretive Matters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660" w:firstLine="644"/>
        <w:spacing w:after="0" w:line="212" w:lineRule="auto"/>
        <w:tabs>
          <w:tab w:leader="none" w:pos="1953"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of this Agreement clearly requires otherwise, references to the plural include the singular, references to the singular include the plural, and the term “including” is not limiting. The words “hereof,” “herein,” “hereby,” “hereunder,” and similar terms in this Agreement refer to this Agreement as a whole and not to any particular provision of this Agreement. Section, subsection and clause references herein are to this Agreement unless otherwise specified.</w:t>
      </w:r>
    </w:p>
    <w:p>
      <w:pPr>
        <w:spacing w:after="0" w:line="154"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“person” as used in this Agreement shall be broadly interpreted to include, without limitation, any individual, corporation, company, partnership or other entity.</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3"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Capitalized terms used but not defined in this Agreement shall have the meanings given to them in the Letter of Credit Facility Agreement unless expressly provided otherwise.</w:t>
      </w:r>
    </w:p>
    <w:p>
      <w:pPr>
        <w:spacing w:after="0" w:line="150"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New York, not including the conflict of law rules and principles thereof.</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the Obligors, the Forbearing Lenders and their respective successors and assigns, and shall inure to the benefit of each such person and their permitted successors and assigns.</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Agreement are included herein for convenience of reference only and shall not constitute a part of this Agreement for any other purpose.</w:t>
      </w:r>
    </w:p>
    <w:p>
      <w:pPr>
        <w:spacing w:after="0" w:line="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6.07 </w:t>
      </w: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This Agreement contains the entire understanding of the parties hereto with regard to the subject matter contained herein. This Agreement supersedes all prior or contemporaneous negotiations, promises, covenants, agreements and representations of every nature whatsoever with respect to the matters referred to in this Agreement, all of which have become merged and finally integrated into this Agreement. Each of the parties hereto understands that in the event of any subsequent litigation, controversy or dispute concerning any of the terms, conditions or provisions of this Agreement, no party shall be entitled to offer or introduce into evidence any oral promises or oral agreements between the parties relating to the subject matter of this Agreement not included or referred to herein and not reflected by a writing included or referred to herein.</w:t>
      </w:r>
    </w:p>
    <w:p>
      <w:pPr>
        <w:spacing w:after="0" w:line="5"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b w:val="1"/>
          <w:bCs w:val="1"/>
          <w:u w:val="single" w:color="auto"/>
          <w:color w:val="auto"/>
        </w:rPr>
        <w:t>Jury Trial Waiver</w:t>
      </w:r>
      <w:r>
        <w:rPr>
          <w:rFonts w:ascii="Times New Roman" w:cs="Times New Roman" w:eastAsia="Times New Roman" w:hAnsi="Times New Roman"/>
          <w:sz w:val="21"/>
          <w:szCs w:val="21"/>
          <w:b w:val="1"/>
          <w:bCs w:val="1"/>
          <w:color w:val="auto"/>
        </w:rPr>
        <w:t>. The Obligors and the Forbearing Lenders, by acceptance of this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mutually hereby knowingly, voluntarily and intentionally waive the right to a trial by jury in respect of any litigation based herein, arising out of, under or in connection with this Agreement or the Letter of Credit Facility Agreement or any other documents contemplated to be executed in connection herewith, or any course of conduct, course of dealings, statements (whether verbal or written) or actions of any party, including, without limitation, any course of conduct, course of dealings, statements or actions of any Lender relating to the administration of the Loans or enforcement of the Letter of Credit Facility Agreement arising out of tort, strict liability, contract or any other law, and agree that no party will seek to consolidate any such action with any other action in which a jury trial cannot be or has not been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391" w:right="339" w:bottom="1440" w:gutter="0" w:footer="0" w:header="0"/>
        </w:sectPr>
      </w:pPr>
    </w:p>
    <w:bookmarkStart w:id="166" w:name="page167"/>
    <w:bookmarkEnd w:id="166"/>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Email</w:t>
      </w:r>
      <w:r>
        <w:rPr>
          <w:rFonts w:ascii="Times New Roman" w:cs="Times New Roman" w:eastAsia="Times New Roman" w:hAnsi="Times New Roman"/>
          <w:sz w:val="22"/>
          <w:szCs w:val="22"/>
          <w:color w:val="auto"/>
        </w:rPr>
        <w:t>. Unless the context of this Agreement clearly requires otherwise, any notice or other communication required by this Agreement, regardless of whether the applicable subsection of this Agreement contemplates email delivery of such notice or communication, may be done via email.</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only be amended or modified in writing (including email by counsel) by the Obligors and Forbearing Lenders constituting at least the Required Forbearing Lenders.</w:t>
      </w:r>
    </w:p>
    <w:p>
      <w:pPr>
        <w:spacing w:after="0" w:line="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This Agreement is a “Loan Document” as defined and described in the Letter of Credit Facility Agreement, and all of the terms and provisions of the Letter of Credit Facility Agreement relating to Loan Documents shall apply hereto.</w:t>
      </w:r>
    </w:p>
    <w:p>
      <w:pPr>
        <w:spacing w:after="0" w:line="151"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The Borrower and each Guarantor hereby forever waives, releases, remises and discharges each of the Agent, the Account Bank,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Forbearance Effective Date against any such Releasee which concerns, directly or indirectly, the Borrower or any Guarantor, the negotiation and execution of this Agreement, the Letter of Credit Facility Agreement or any other Loan Document, or any acts or omissions of any such Releasee relating to the Borrower, any Guarantor, this Agreement, the Letter of Credit Facility Agreement or any other Loan Document, in each case, to the extent pertaining to facts, events or circumstances existing on or prior to (but not after) the Forbearance Effective Date (the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the Letter of Credit Facility Agreement, and the other Loan Documents and payment in full of all Obligations in respect thereof and is in addition to any other release or covenant not to sue in favor of the Releasees.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395" w:right="339" w:bottom="1440" w:gutter="0" w:footer="0" w:header="0"/>
        </w:sectPr>
      </w:pPr>
    </w:p>
    <w:bookmarkStart w:id="167" w:name="page168"/>
    <w:bookmarkEnd w:id="16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5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NEW FORTRESS ENERGY INC.</w:t>
      </w:r>
    </w:p>
    <w:p>
      <w:pPr>
        <w:spacing w:after="0" w:line="26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-13970</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NEW FORTRESS INTERMEDIATE LLC</w:t>
      </w:r>
    </w:p>
    <w:p>
      <w:pPr>
        <w:spacing w:after="0" w:line="2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-13970</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NFE ATLANTIC HOLDINGS LLC</w:t>
      </w:r>
    </w:p>
    <w:p>
      <w:pPr>
        <w:spacing w:after="0" w:line="2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-13970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22" w:right="339" w:bottom="1440" w:gutter="0" w:footer="0" w:header="0"/>
        </w:sectPr>
      </w:pPr>
    </w:p>
    <w:bookmarkStart w:id="168" w:name="page169"/>
    <w:bookmarkEnd w:id="168"/>
    <w:p>
      <w:pPr>
        <w:ind w:left="2920"/>
        <w:spacing w:after="0"/>
        <w:rPr>
          <w:sz w:val="20"/>
          <w:szCs w:val="20"/>
          <w:color w:val="auto"/>
        </w:rPr>
      </w:pPr>
      <w:r>
        <w:rPr>
          <w:rFonts w:ascii="Times New Roman" w:cs="Times New Roman" w:eastAsia="Times New Roman" w:hAnsi="Times New Roman"/>
          <w:sz w:val="22"/>
          <w:szCs w:val="22"/>
          <w:b w:val="1"/>
          <w:bCs w:val="1"/>
          <w:color w:val="auto"/>
        </w:rPr>
        <w:t>AMERICAN ENERGY LOGISTICS SOLUTIONS LLC</w:t>
      </w:r>
    </w:p>
    <w:p>
      <w:pPr>
        <w:spacing w:after="0" w:line="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ATLANTIC ENERGY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b w:val="1"/>
          <w:bCs w:val="1"/>
          <w:color w:val="auto"/>
        </w:rPr>
        <w:t>BRADFORD COUNTY DEVELOPMENT HOLDINGS LLC</w:t>
      </w:r>
    </w:p>
    <w:p>
      <w:pPr>
        <w:spacing w:after="0" w:line="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GPF HOLDINGS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GPF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POWER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POWER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TRANSPORT HOLDINGS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BRADFORD COUNTY TRANSPORT PARTNERS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ISLAND LNG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LA DEVELOPMENT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LA REAL ESTATE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LA REAL ESTATE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LNG HOLDINGS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FLNG 2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NEW FORTRESS ENERGY MARKETING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NEW FORTRESS ENERGY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ANDROMEDA CHARTERING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ANGOLA HOLDINGS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BCS HOLDINGS (A)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BCS HOLDINGS (B)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EQUIPMENT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EQUIPMENT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GHANA HOLDINGS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GHANA PARTNERS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GLOBAL SHIPPING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GRAND SHIPPING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HONDURAS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INTERNATIONAL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INTERNATIONAL SHIPPING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ISO HOLDINGS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ISO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JAMAICA GP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LOGISTICS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MANAGEMENT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NICARAGUA DEVELOPMENT PARTNERS LLC</w:t>
      </w:r>
    </w:p>
    <w:p>
      <w:pPr>
        <w:spacing w:after="0" w:line="200" w:lineRule="exact"/>
        <w:rPr>
          <w:sz w:val="20"/>
          <w:szCs w:val="20"/>
          <w:color w:val="auto"/>
        </w:rPr>
      </w:pPr>
    </w:p>
    <w:p>
      <w:pPr>
        <w:spacing w:after="0" w:line="2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-13970</wp:posOffset>
            </wp:positionV>
            <wp:extent cx="4114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18" w:right="1440" w:bottom="1440" w:gutter="0" w:footer="0" w:header="0"/>
        </w:sectPr>
      </w:pPr>
    </w:p>
    <w:bookmarkStart w:id="169" w:name="page170"/>
    <w:bookmarkEnd w:id="169"/>
    <w:p>
      <w:pPr>
        <w:spacing w:after="0" w:line="200" w:lineRule="exact"/>
        <w:rPr>
          <w:sz w:val="20"/>
          <w:szCs w:val="20"/>
          <w:color w:val="auto"/>
        </w:rPr>
      </w:pPr>
    </w:p>
    <w:p>
      <w:pPr>
        <w:spacing w:after="0" w:line="2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NORTH TRADING LLC</w:t>
      </w:r>
    </w:p>
    <w:p>
      <w:pPr>
        <w:spacing w:after="0" w:line="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PIONEER 1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PIONEER 2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PIONEER 3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PLANT DEVELOPMENT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FLNG 1 ISSUER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SOUTH POWER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SUB LLC</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TRANSPORT HOLDINGS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TRANSPORT PARTNERS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NFE US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PA DEVELOPMENT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PA REAL ESTATE HOLDINGS LLC</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PA REAL ESTATE PARTNERS LLC</w:t>
      </w:r>
    </w:p>
    <w:p>
      <w:pPr>
        <w:spacing w:after="0" w:line="5" w:lineRule="exact"/>
        <w:rPr>
          <w:sz w:val="20"/>
          <w:szCs w:val="20"/>
          <w:color w:val="auto"/>
        </w:rPr>
      </w:pPr>
    </w:p>
    <w:p>
      <w:pPr>
        <w:ind w:left="2920" w:right="1999"/>
        <w:spacing w:after="0" w:line="259" w:lineRule="auto"/>
        <w:rPr>
          <w:sz w:val="20"/>
          <w:szCs w:val="20"/>
          <w:color w:val="auto"/>
        </w:rPr>
      </w:pPr>
      <w:r>
        <w:rPr>
          <w:rFonts w:ascii="Times New Roman" w:cs="Times New Roman" w:eastAsia="Times New Roman" w:hAnsi="Times New Roman"/>
          <w:sz w:val="22"/>
          <w:szCs w:val="22"/>
          <w:b w:val="1"/>
          <w:bCs w:val="1"/>
          <w:color w:val="auto"/>
        </w:rPr>
        <w:t>TICO DEVELOPMENT PARTNERS HOLDINGS LLC TICO DEVELOPMENT PARTNERS LLC</w:t>
      </w: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-13970</wp:posOffset>
            </wp:positionV>
            <wp:extent cx="9601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3140"/>
        <w:spacing w:after="0"/>
        <w:tabs>
          <w:tab w:leader="none" w:pos="38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40" w:right="1440" w:bottom="1440" w:gutter="0" w:footer="0" w:header="0"/>
        </w:sectPr>
      </w:pPr>
    </w:p>
    <w:bookmarkStart w:id="170" w:name="page171"/>
    <w:bookmarkEnd w:id="170"/>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ATLANTIC PIPELINE HOLDINGS SRL</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Manager</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BERMUDA HOLDINGS LIMITED</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NFE INTERNATIONAL HOLDINGS LIMITED*</w:t>
      </w:r>
    </w:p>
    <w:p>
      <w:pPr>
        <w:spacing w:after="0" w:line="200" w:lineRule="exact"/>
        <w:rPr>
          <w:sz w:val="20"/>
          <w:szCs w:val="20"/>
          <w:color w:val="auto"/>
        </w:rPr>
      </w:pPr>
    </w:p>
    <w:p>
      <w:pPr>
        <w:spacing w:after="0" w:line="27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*incorporated under Bermuda law</w:t>
      </w: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NFE NICARAGUA HOLDINGS LLC</w:t>
      </w:r>
    </w:p>
    <w:p>
      <w:pPr>
        <w:spacing w:after="0" w:line="200" w:lineRule="exact"/>
        <w:rPr>
          <w:sz w:val="20"/>
          <w:szCs w:val="20"/>
          <w:color w:val="auto"/>
        </w:rPr>
      </w:pPr>
    </w:p>
    <w:p>
      <w:pPr>
        <w:spacing w:after="0" w:line="270"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r>
      <w:tr>
        <w:trPr>
          <w:trHeight w:val="263"/>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23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Christopher S. Guinta</w:t>
            </w: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3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Chief Financial Officer</w:t>
            </w:r>
          </w:p>
        </w:tc>
      </w:tr>
    </w:tbl>
    <w:p>
      <w:pPr>
        <w:spacing w:after="0" w:line="200" w:lineRule="exact"/>
        <w:rPr>
          <w:sz w:val="20"/>
          <w:szCs w:val="20"/>
          <w:color w:val="auto"/>
        </w:rPr>
      </w:pPr>
    </w:p>
    <w:p>
      <w:pPr>
        <w:spacing w:after="0" w:line="27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NFE SHANNON HOLDINGS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SOUTH POWER TRADING LIMITED</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18" w:right="1440" w:bottom="1440" w:gutter="0" w:footer="0" w:header="0"/>
        </w:sectPr>
      </w:pPr>
    </w:p>
    <w:bookmarkStart w:id="171" w:name="page172"/>
    <w:bookmarkEnd w:id="171"/>
    <w:p>
      <w:pPr>
        <w:ind w:left="3240"/>
        <w:spacing w:after="0"/>
        <w:rPr>
          <w:sz w:val="20"/>
          <w:szCs w:val="20"/>
          <w:color w:val="auto"/>
        </w:rPr>
      </w:pPr>
      <w:r>
        <w:rPr>
          <w:rFonts w:ascii="Times New Roman" w:cs="Times New Roman" w:eastAsia="Times New Roman" w:hAnsi="Times New Roman"/>
          <w:sz w:val="22"/>
          <w:szCs w:val="22"/>
          <w:b w:val="1"/>
          <w:bCs w:val="1"/>
          <w:color w:val="auto"/>
        </w:rPr>
        <w:t>AMAUNET, S. DE R.L. DE C.V.</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NFENERGIA MEXICO, S. DE R.L. DE C.V.</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NFENERGIA GN DE BCS, S. DE R.L. DE C.V.</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PACIFICO LAP, S. DE R.L. DE C.V.</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NFE BCS MEXICO HOLDINGS, S. DE R.L. DE C.V.</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ALTAMIRA ONSHORE, S. DE R.L. DE C.V.</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MEXICO FLNG ONSHORE, S. DE R.L. DE C.V.</w:t>
      </w: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18" w:right="1440" w:bottom="1440" w:gutter="0" w:footer="0" w:header="0"/>
        </w:sectPr>
      </w:pPr>
    </w:p>
    <w:bookmarkStart w:id="172" w:name="page173"/>
    <w:bookmarkEnd w:id="172"/>
    <w:p>
      <w:pPr>
        <w:ind w:left="3240"/>
        <w:spacing w:after="0"/>
        <w:rPr>
          <w:sz w:val="20"/>
          <w:szCs w:val="20"/>
          <w:color w:val="auto"/>
        </w:rPr>
      </w:pPr>
      <w:r>
        <w:rPr>
          <w:rFonts w:ascii="Times New Roman" w:cs="Times New Roman" w:eastAsia="Times New Roman" w:hAnsi="Times New Roman"/>
          <w:sz w:val="22"/>
          <w:szCs w:val="22"/>
          <w:b w:val="1"/>
          <w:bCs w:val="1"/>
          <w:color w:val="auto"/>
        </w:rPr>
        <w:t>NFENERGÍA LLC</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SOLUCIONES DE ENERGIA LIMPIA PR LLC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POWER PR LLC</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ENCANTO EAST LLC</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ENCANTO WEST LLC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ENCANTO POWER WEST LLC</w:t>
      </w:r>
    </w:p>
    <w:p>
      <w:pPr>
        <w:spacing w:after="0" w:line="200" w:lineRule="exact"/>
        <w:rPr>
          <w:sz w:val="20"/>
          <w:szCs w:val="20"/>
          <w:color w:val="auto"/>
        </w:rPr>
      </w:pPr>
    </w:p>
    <w:p>
      <w:pPr>
        <w:spacing w:after="0" w:line="242"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23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Christopher S. Guinta</w:t>
            </w: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3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NFE NICARAGUA DEVELOPMENT PARTNERS LLC, SUCURSAL NICARAGUA</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396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180"/>
          </w:cols>
          <w:pgMar w:left="320" w:top="1418" w:right="399" w:bottom="1440" w:gutter="0" w:footer="0" w:header="0"/>
        </w:sectPr>
      </w:pPr>
    </w:p>
    <w:bookmarkStart w:id="173" w:name="page174"/>
    <w:bookmarkEnd w:id="173"/>
    <w:p>
      <w:pPr>
        <w:ind w:left="3240"/>
        <w:spacing w:after="0"/>
        <w:rPr>
          <w:sz w:val="20"/>
          <w:szCs w:val="20"/>
          <w:color w:val="auto"/>
        </w:rPr>
      </w:pPr>
      <w:r>
        <w:rPr>
          <w:rFonts w:ascii="Times New Roman" w:cs="Times New Roman" w:eastAsia="Times New Roman" w:hAnsi="Times New Roman"/>
          <w:sz w:val="22"/>
          <w:szCs w:val="22"/>
          <w:b w:val="1"/>
          <w:bCs w:val="1"/>
          <w:color w:val="auto"/>
        </w:rPr>
        <w:t>NFE MEXICO HOLDINGS S.À R.L.</w:t>
      </w:r>
    </w:p>
    <w:p>
      <w:pPr>
        <w:spacing w:after="0" w:line="32" w:lineRule="exact"/>
        <w:rPr>
          <w:sz w:val="20"/>
          <w:szCs w:val="20"/>
          <w:color w:val="auto"/>
        </w:rPr>
      </w:pPr>
    </w:p>
    <w:p>
      <w:pPr>
        <w:ind w:left="3240"/>
        <w:spacing w:after="0" w:line="265" w:lineRule="auto"/>
        <w:rPr>
          <w:sz w:val="20"/>
          <w:szCs w:val="20"/>
          <w:color w:val="auto"/>
        </w:rPr>
      </w:pPr>
      <w:r>
        <w:rPr>
          <w:rFonts w:ascii="Times New Roman" w:cs="Times New Roman" w:eastAsia="Times New Roman" w:hAnsi="Times New Roman"/>
          <w:sz w:val="21"/>
          <w:szCs w:val="21"/>
          <w:color w:val="auto"/>
        </w:rPr>
        <w:t>A Luxembourg private limited liability company (</w:t>
      </w:r>
      <w:r>
        <w:rPr>
          <w:rFonts w:ascii="Times New Roman" w:cs="Times New Roman" w:eastAsia="Times New Roman" w:hAnsi="Times New Roman"/>
          <w:sz w:val="21"/>
          <w:szCs w:val="21"/>
          <w:i w:val="1"/>
          <w:iCs w:val="1"/>
          <w:color w:val="auto"/>
        </w:rPr>
        <w:t>société à responsabilité limitée</w:t>
      </w:r>
      <w:r>
        <w:rPr>
          <w:rFonts w:ascii="Times New Roman" w:cs="Times New Roman" w:eastAsia="Times New Roman" w:hAnsi="Times New Roman"/>
          <w:sz w:val="21"/>
          <w:szCs w:val="21"/>
          <w:color w:val="auto"/>
        </w:rPr>
        <w:t>), with registered office located at 12F, rue Guillaume Kroll, L-1882 Luxembourg, Grand Duchy of Luxembourg and registered with the Luxembourg trade and companies register (</w:t>
      </w:r>
      <w:r>
        <w:rPr>
          <w:rFonts w:ascii="Times New Roman" w:cs="Times New Roman" w:eastAsia="Times New Roman" w:hAnsi="Times New Roman"/>
          <w:sz w:val="21"/>
          <w:szCs w:val="21"/>
          <w:i w:val="1"/>
          <w:iCs w:val="1"/>
          <w:color w:val="auto"/>
        </w:rPr>
        <w:t>Registre 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Commerce et des Sociétés</w:t>
      </w:r>
      <w:r>
        <w:rPr>
          <w:rFonts w:ascii="Times New Roman" w:cs="Times New Roman" w:eastAsia="Times New Roman" w:hAnsi="Times New Roman"/>
          <w:sz w:val="21"/>
          <w:szCs w:val="21"/>
          <w:color w:val="auto"/>
        </w:rPr>
        <w:t>, Luxembourg) under number B267469, duly represented by: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MEXICO HOLDINGS PARENT S.À R.L.</w:t>
      </w:r>
    </w:p>
    <w:p>
      <w:pPr>
        <w:spacing w:after="0" w:line="32" w:lineRule="exact"/>
        <w:rPr>
          <w:sz w:val="20"/>
          <w:szCs w:val="20"/>
          <w:color w:val="auto"/>
        </w:rPr>
      </w:pPr>
    </w:p>
    <w:p>
      <w:pPr>
        <w:ind w:left="3240"/>
        <w:spacing w:after="0" w:line="260" w:lineRule="auto"/>
        <w:rPr>
          <w:sz w:val="20"/>
          <w:szCs w:val="20"/>
          <w:color w:val="auto"/>
        </w:rPr>
      </w:pPr>
      <w:r>
        <w:rPr>
          <w:rFonts w:ascii="Times New Roman" w:cs="Times New Roman" w:eastAsia="Times New Roman" w:hAnsi="Times New Roman"/>
          <w:sz w:val="21"/>
          <w:szCs w:val="21"/>
          <w:color w:val="auto"/>
        </w:rPr>
        <w:t>A Luxembourg private limited liability company (</w:t>
      </w:r>
      <w:r>
        <w:rPr>
          <w:rFonts w:ascii="Times New Roman" w:cs="Times New Roman" w:eastAsia="Times New Roman" w:hAnsi="Times New Roman"/>
          <w:sz w:val="21"/>
          <w:szCs w:val="21"/>
          <w:i w:val="1"/>
          <w:iCs w:val="1"/>
          <w:color w:val="auto"/>
        </w:rPr>
        <w:t>société à responsabilité limitée</w:t>
      </w:r>
      <w:r>
        <w:rPr>
          <w:rFonts w:ascii="Times New Roman" w:cs="Times New Roman" w:eastAsia="Times New Roman" w:hAnsi="Times New Roman"/>
          <w:sz w:val="21"/>
          <w:szCs w:val="21"/>
          <w:color w:val="auto"/>
        </w:rPr>
        <w:t>), with registered office located at 12F, rue Guillaume Kroll, L-1882 Luxembourg, Grand Duchy of Luxembourg and registered with the Luxembourg trade and companies register (</w:t>
      </w:r>
      <w:r>
        <w:rPr>
          <w:rFonts w:ascii="Times New Roman" w:cs="Times New Roman" w:eastAsia="Times New Roman" w:hAnsi="Times New Roman"/>
          <w:sz w:val="21"/>
          <w:szCs w:val="21"/>
          <w:i w:val="1"/>
          <w:iCs w:val="1"/>
          <w:color w:val="auto"/>
        </w:rPr>
        <w:t>Registre 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Commerce et des Sociétés</w:t>
      </w:r>
      <w:r>
        <w:rPr>
          <w:rFonts w:ascii="Times New Roman" w:cs="Times New Roman" w:eastAsia="Times New Roman" w:hAnsi="Times New Roman"/>
          <w:sz w:val="21"/>
          <w:szCs w:val="21"/>
          <w:color w:val="auto"/>
        </w:rPr>
        <w:t>, Luxembourg) under number B267494, duly represented by: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00"/>
          </w:cols>
          <w:pgMar w:left="320" w:top="1418" w:right="37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2"/>
          <w:szCs w:val="22"/>
          <w:b w:val="1"/>
          <w:bCs w:val="1"/>
          <w:color w:val="auto"/>
        </w:rPr>
        <w:t>NFE GLOBAL HOLDINGS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NFE INTERNATIONAL HOLDINGS*</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*incorporated under the laws of England and Wales</w:t>
      </w:r>
    </w:p>
    <w:p>
      <w:pPr>
        <w:spacing w:after="0" w:line="200" w:lineRule="exact"/>
        <w:rPr>
          <w:sz w:val="20"/>
          <w:szCs w:val="20"/>
          <w:color w:val="auto"/>
        </w:rPr>
      </w:pPr>
    </w:p>
    <w:p>
      <w:pPr>
        <w:spacing w:after="0" w:line="285"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22"/>
          <w:szCs w:val="22"/>
          <w:b w:val="1"/>
          <w:bCs w:val="1"/>
          <w:color w:val="auto"/>
        </w:rPr>
        <w:t>NFE MEXICO POWER HOLDINGS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18" w:right="1440" w:bottom="1440" w:gutter="0" w:footer="0" w:header="0"/>
        </w:sectPr>
      </w:pPr>
    </w:p>
    <w:bookmarkStart w:id="175" w:name="page176"/>
    <w:bookmarkEnd w:id="175"/>
    <w:p>
      <w:pPr>
        <w:jc w:val="right"/>
        <w:ind w:right="2019"/>
        <w:spacing w:after="0"/>
        <w:rPr>
          <w:sz w:val="20"/>
          <w:szCs w:val="20"/>
          <w:color w:val="auto"/>
        </w:rPr>
      </w:pPr>
      <w:r>
        <w:rPr>
          <w:rFonts w:ascii="Times New Roman" w:cs="Times New Roman" w:eastAsia="Times New Roman" w:hAnsi="Times New Roman"/>
          <w:sz w:val="22"/>
          <w:szCs w:val="22"/>
          <w:b w:val="1"/>
          <w:bCs w:val="1"/>
          <w:color w:val="auto"/>
        </w:rPr>
        <w:t>NFE MEXICO TERMINAL HOLDINGS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UK HOLDINGS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GP LLC</w:t>
      </w:r>
    </w:p>
    <w:p>
      <w:pPr>
        <w:spacing w:after="0" w:line="200" w:lineRule="exact"/>
        <w:rPr>
          <w:sz w:val="20"/>
          <w:szCs w:val="20"/>
          <w:color w:val="auto"/>
        </w:rPr>
      </w:pPr>
    </w:p>
    <w:p>
      <w:pPr>
        <w:spacing w:after="0" w:line="270"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r>
      <w:tr>
        <w:trPr>
          <w:trHeight w:val="263"/>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23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Christopher S. Guinta</w:t>
            </w: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3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Chief Financial Officer</w:t>
            </w:r>
          </w:p>
        </w:tc>
      </w:tr>
    </w:tbl>
    <w:p>
      <w:pPr>
        <w:spacing w:after="0" w:line="2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INTERNATIONAL HOLDINGS 1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1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NFE INTERNATIONAL HOLDINGS 2 LIMITED</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S. Guinta</w:t>
      </w:r>
    </w:p>
    <w:p>
      <w:pPr>
        <w:spacing w:after="0" w:line="5"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18" w:right="1440" w:bottom="1440" w:gutter="0" w:footer="0" w:header="0"/>
        </w:sectPr>
      </w:pPr>
    </w:p>
    <w:bookmarkStart w:id="176" w:name="page177"/>
    <w:bookmarkEnd w:id="176"/>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[FORBEARING LENDER NAME]</w:t>
      </w:r>
      <w:r>
        <w:rPr>
          <w:rFonts w:ascii="Times New Roman" w:cs="Times New Roman" w:eastAsia="Times New Roman" w:hAnsi="Times New Roman"/>
          <w:sz w:val="22"/>
          <w:szCs w:val="22"/>
          <w:color w:val="auto"/>
        </w:rPr>
        <w:t>, as a Forbearing Lender</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-29210</wp:posOffset>
            </wp:positionV>
            <wp:extent cx="274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NATIXIS, NEW YORK BRANCH</w:t>
      </w:r>
      <w:r>
        <w:rPr>
          <w:rFonts w:ascii="Times New Roman" w:cs="Times New Roman" w:eastAsia="Times New Roman" w:hAnsi="Times New Roman"/>
          <w:sz w:val="22"/>
          <w:szCs w:val="22"/>
          <w:color w:val="auto"/>
        </w:rPr>
        <w:t>, as Administrative Agent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14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14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NATIXIS, NEW YORK BRANCH</w:t>
      </w:r>
      <w:r>
        <w:rPr>
          <w:rFonts w:ascii="Times New Roman" w:cs="Times New Roman" w:eastAsia="Times New Roman" w:hAnsi="Times New Roman"/>
          <w:sz w:val="22"/>
          <w:szCs w:val="22"/>
          <w:color w:val="auto"/>
        </w:rPr>
        <w:t>, as Collateral Agent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14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14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Forbearance Agreement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40" w:right="1440"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Specified Defaults</w:t>
      </w:r>
    </w:p>
    <w:p>
      <w:pPr>
        <w:spacing w:after="0" w:line="19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Capitalized terms used in this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but not defined in this Agreement or in the Letter of Credit Facility Agreement shall have the meanings given to them in the RSA. The following Defaults or Events of Default with respect to each of the Letter of Credit Facility Agreement have occurred prior to the Forbearance Effective Date, and may also occur or continue to occur during the Forbearance Period in addition to any Default or Event of Default with respect to each of the Letter of Credit Facility Agreement that may arise solely as a result of the implementation of the Restructuring, including (without limitation) filing the Claim Form with respect to the Restructuring Plans, in each case, constituting Specified Defaults for purposes of the Agreement:</w:t>
      </w:r>
    </w:p>
    <w:p>
      <w:pPr>
        <w:spacing w:after="0" w:line="155" w:lineRule="exact"/>
        <w:rPr>
          <w:sz w:val="20"/>
          <w:szCs w:val="20"/>
          <w:color w:val="auto"/>
        </w:rPr>
      </w:pPr>
    </w:p>
    <w:p>
      <w:pPr>
        <w:jc w:val="both"/>
        <w:ind w:left="660" w:hanging="652"/>
        <w:spacing w:after="0" w:line="217"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an Event of Default, Events of Default under Section 7.1(a)(1)(ii) of the Letter of Credit Facility Agreement may have occurred or may occur solely as a result of the failure to repay any Unpaid Drawings and other Reimbursement Obligations following receipt of FEMA Make Whole proceeds or the failure to otherwise cash collateralize the outstanding Letter(s) of Credit, in each case, as required by Section 2.5(g)(ii) thereof and any Event of Default resulting from the use of such proceeds.</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Events of Default under Section 7.1(a)(3) of the Letter of Credit Facility Agreement have occurred or may occur solely as a result of the failure to deliver a notice required by Section 5.7(a) thereof regarding the occurrence of any Default or Event of Default described in this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0"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 7.1(a)(3) of the Letter of Credit Facility Agreement have occurred or may occur solely as a result of failure to maintain the Consolidated First Lien Debt Ratio for any fiscal quarter ending after December 31, 2025, and any fiscal quarter thereafter ending prior to the earlier of (i) the Termination Date and (ii) the Restructuring Effective Date, as required by Section 6.10(a) thereof.</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0"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 7.1(a)(3) of the Letter of Credit Facility Agreement have occurred or may occur solely as a result of failure to maintain the Fixed Charge Coverage Ratio for any fiscal quarter ending after December 31, 2025 and prior to the earlier of (i) the Termination Date and (ii) the Restructuring Effective Date, as required by Section 6.10(b) thereof.</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 7.1(a)(3) of the Letter of Credit Facility Agreement have occurred or may occur solely as a result of failure to maintain the minimum Consolidated Liquidity required by Section 6.10(c)(ii) thereof as of the last day of the calendar months ended January 31, 2026 and February 28, 2026 and March 31, 2026.</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Events of Default under Section 7.1(a)(2) of the Letter of Credit Facility Agreement have occurred solely as a result of the making of representations and warranties, whether by bringing down or deemed or otherwise, that were inaccurate at the time such representation and warranty was made as a result of the Events of Default specified in this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18" w:right="339" w:bottom="1440" w:gutter="0" w:footer="0" w:header="0"/>
        </w:sectPr>
      </w:pPr>
    </w:p>
    <w:bookmarkStart w:id="179" w:name="page180"/>
    <w:bookmarkEnd w:id="179"/>
    <w:p>
      <w:pPr>
        <w:spacing w:after="0" w:line="171" w:lineRule="exact"/>
        <w:rPr>
          <w:sz w:val="20"/>
          <w:szCs w:val="20"/>
          <w:color w:val="auto"/>
        </w:rPr>
      </w:pPr>
    </w:p>
    <w:p>
      <w:pPr>
        <w:ind w:left="760" w:hanging="652"/>
        <w:spacing w:after="0" w:line="236"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 7.1(a)(7)(v) of the Letter of Credit Facility Agreement have occurred or may occur solely as a result of any admission of the inability to or failure generally to pay debts as they become due.</w:t>
      </w:r>
    </w:p>
    <w:p>
      <w:pPr>
        <w:spacing w:after="0" w:line="150" w:lineRule="exact"/>
        <w:rPr>
          <w:rFonts w:ascii="Times New Roman" w:cs="Times New Roman" w:eastAsia="Times New Roman" w:hAnsi="Times New Roman"/>
          <w:sz w:val="22"/>
          <w:szCs w:val="22"/>
          <w:color w:val="auto"/>
        </w:rPr>
      </w:pPr>
    </w:p>
    <w:p>
      <w:pPr>
        <w:jc w:val="both"/>
        <w:ind w:left="760" w:hanging="652"/>
        <w:spacing w:after="0" w:line="217"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Sections 7.1(a)(14), 7.1(a)(15) and 7.1(a)(16) of the Letter of Credit Facility Agreement have occurred solely as a result of failing to maintain the New 2029 Notes Forbearance Agreement, Term Loan A Forbearance Agreement and Term Loan B Forbearance Agreement in full force and effect in accordance with their respective terms, materially violating or breaching the terms of such forbearance agreements and/or the expiration of the Forbearance Period (as defined therein).</w:t>
      </w:r>
    </w:p>
    <w:p>
      <w:pPr>
        <w:spacing w:after="0" w:line="152" w:lineRule="exact"/>
        <w:rPr>
          <w:rFonts w:ascii="Times New Roman" w:cs="Times New Roman" w:eastAsia="Times New Roman" w:hAnsi="Times New Roman"/>
          <w:sz w:val="22"/>
          <w:szCs w:val="22"/>
          <w:color w:val="auto"/>
        </w:rPr>
      </w:pPr>
    </w:p>
    <w:p>
      <w:pPr>
        <w:jc w:val="both"/>
        <w:ind w:left="760" w:hanging="652"/>
        <w:spacing w:after="0" w:line="225"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 7.1(a)(4)(B) of the Letter of Credit Facility Agreement have occurred or may occur solely as a result of failures to deliver financial statements and related materials as required by Sections 5.1(a), 5.1(b), 5.2(a), 5.2(b) and 5.2(c) thereof prior to the earlier of (i) the Termination Date and (ii) the Restructuring Effective Date.</w:t>
      </w:r>
    </w:p>
    <w:p>
      <w:pPr>
        <w:spacing w:after="0" w:line="152" w:lineRule="exact"/>
        <w:rPr>
          <w:rFonts w:ascii="Times New Roman" w:cs="Times New Roman" w:eastAsia="Times New Roman" w:hAnsi="Times New Roman"/>
          <w:sz w:val="22"/>
          <w:szCs w:val="22"/>
          <w:color w:val="auto"/>
        </w:rPr>
      </w:pPr>
    </w:p>
    <w:p>
      <w:pPr>
        <w:jc w:val="both"/>
        <w:ind w:left="760" w:hanging="652"/>
        <w:spacing w:after="0" w:line="225"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Section 7.1(a)(4) of the Letter of Credit Facility Agreement have occurred or may occur on or prior to April 30, 2026 solely as a result of the Borrower’s failure to provide annual budgets for its fiscal years ending December 31, 2025 and December 31, 2026 under Section 5.2(b) thereof.</w:t>
      </w:r>
    </w:p>
    <w:p>
      <w:pPr>
        <w:spacing w:after="0" w:line="179" w:lineRule="exact"/>
        <w:rPr>
          <w:sz w:val="20"/>
          <w:szCs w:val="20"/>
          <w:color w:val="auto"/>
        </w:rPr>
      </w:pPr>
    </w:p>
    <w:p>
      <w:pPr>
        <w:jc w:val="center"/>
        <w:ind w:right="80"/>
        <w:spacing w:after="0" w:line="275" w:lineRule="auto"/>
        <w:rPr>
          <w:sz w:val="20"/>
          <w:szCs w:val="20"/>
          <w:color w:val="auto"/>
        </w:rPr>
      </w:pPr>
      <w:r>
        <w:rPr>
          <w:rFonts w:ascii="Times New Roman" w:cs="Times New Roman" w:eastAsia="Times New Roman" w:hAnsi="Times New Roman"/>
          <w:sz w:val="21"/>
          <w:szCs w:val="21"/>
          <w:color w:val="auto"/>
        </w:rPr>
        <w:t>e extent constituting an Event of Default, Events of Default under Section 7.1(a)(2) and/or Section 7.1(a)(4) of the Letter of Credit Facility Agreement may have occurred or may occur on the Fourteenth Amendment Agreement Effective Date solely as a result of the Borrower’s payment of fees specified in the Fee Letter entered into in connection with this Amendment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Sch. 1</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340"/>
          </w:cols>
          <w:pgMar w:left="220" w:top="1440"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Undertakings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but not defined in this Agreement or in the Letter of Credit Facility Agreement shall have the meanings given to them in the RSA. Each of the Obligors agrees and covenants, and agrees and covenants to cause the other Company Parties to the extent not party hereto, subject to its obligations under applicable law and regulations, that, from the Forbearance Effective Date until the RSA Termination Date, except (a) as may be consented to in writing by the Required Lenders, (b) as may be expressly required or permitted by the RSA or any of the Term Sheets or Definitive Documents, or (c) as may be contemplated by, or result from, (x) the Restructuring (including limitations resulting from the Restructuring Plan) or (y) certain internal reorganization transactions undertaken by the Obligors in December 2025:</w:t>
      </w:r>
    </w:p>
    <w:p>
      <w:pPr>
        <w:spacing w:after="0" w:line="179" w:lineRule="exact"/>
        <w:rPr>
          <w:sz w:val="20"/>
          <w:szCs w:val="20"/>
          <w:color w:val="auto"/>
        </w:rPr>
      </w:pPr>
    </w:p>
    <w:p>
      <w:pPr>
        <w:jc w:val="both"/>
        <w:ind w:left="660" w:hanging="328"/>
        <w:spacing w:after="0" w:line="251"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use commercially reasonable efforts to conduct its business in the ordinary course in all material respects, in compliance with applicable law, including by using its commercially reasonable efforts to (A) preserve substantially intact its material business organization, (B) maintain in effect all of its material foreign, federal, state, and local licenses, permits, consents, franchises, approvals, and authorizations required to operate its business and (C) preserve in all material respects its relationships with its material counterparties, customers and suppliers, and others having material business relationships with it;</w:t>
      </w:r>
    </w:p>
    <w:p>
      <w:pPr>
        <w:spacing w:after="0" w:line="181"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comply with Anti-Corruption Laws, Money Laundering Laws, Sanctions and Ex-Im Laws and not take any action that would cause a violation of any of the foregoing by any person or entity, including the Forbearing Lenders;</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maintain good standing under the laws of the state or jurisdiction in which such Company Party is incorporated or organized, except where the failure to be in good standing would not have, and would not reasonably be expected to have, individually or in the aggregate, a material adverse effect;</w:t>
      </w:r>
    </w:p>
    <w:p>
      <w:pPr>
        <w:spacing w:after="0" w:line="167"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deliver to the Forbearing Lenders or their advisors a copy of all thirteen (13)-week cash flow forecasts for the Group and associated financial reports required under any Debt Document;</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reasonably promptly following the closing of books following the end of each calendar month (which includes review by PwC), provide to the Forbearing Lenders or their advisors (A) a consolidated income statement for the month then ended and (B) a consolidated income statement of Hygo Energy Transition Limited for the month then ended;</w:t>
      </w:r>
    </w:p>
    <w:p>
      <w:pPr>
        <w:spacing w:after="0" w:line="167"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FLNG 1, it will (A) provide copies of all weekly key performance indicator “dashboards” for FLNG 1 generated in the ordinary course of business, in each case, consistent with “dashboards” previously shared with the Advisors, with additional commentary on planned and unplanned outages and data backup in Excel format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18" w:right="339" w:bottom="1440" w:gutter="0" w:footer="0" w:header="0"/>
        </w:sectPr>
      </w:pPr>
    </w:p>
    <w:bookmarkStart w:id="181" w:name="page182"/>
    <w:bookmarkEnd w:id="181"/>
    <w:p>
      <w:pPr>
        <w:ind w:left="660"/>
        <w:spacing w:after="0" w:line="271" w:lineRule="auto"/>
        <w:rPr>
          <w:sz w:val="20"/>
          <w:szCs w:val="20"/>
          <w:color w:val="auto"/>
        </w:rPr>
      </w:pPr>
      <w:r>
        <w:rPr>
          <w:rFonts w:ascii="Times New Roman" w:cs="Times New Roman" w:eastAsia="Times New Roman" w:hAnsi="Times New Roman"/>
          <w:sz w:val="22"/>
          <w:szCs w:val="22"/>
          <w:color w:val="auto"/>
        </w:rPr>
        <w:t>promptly provide updates with respect to any material developments related to the FLNG 1 facility (including progress with regards to the Company Parties’ cost of production improvement initiatives);</w:t>
      </w:r>
    </w:p>
    <w:p>
      <w:pPr>
        <w:spacing w:after="0" w:line="158" w:lineRule="exact"/>
        <w:rPr>
          <w:sz w:val="20"/>
          <w:szCs w:val="20"/>
          <w:color w:val="auto"/>
        </w:rPr>
      </w:pPr>
    </w:p>
    <w:p>
      <w:pPr>
        <w:jc w:val="both"/>
        <w:ind w:left="660" w:hanging="328"/>
        <w:spacing w:after="0" w:line="251"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cause its advisors (including Alvarez &amp; Marsal and Houlihan Lokey) to hold weekly calls (the “</w:t>
      </w:r>
      <w:r>
        <w:rPr>
          <w:rFonts w:ascii="Times New Roman" w:cs="Times New Roman" w:eastAsia="Times New Roman" w:hAnsi="Times New Roman"/>
          <w:sz w:val="22"/>
          <w:szCs w:val="22"/>
          <w:u w:val="single" w:color="auto"/>
          <w:color w:val="auto"/>
        </w:rPr>
        <w:t>Weekly Calls</w:t>
      </w:r>
      <w:r>
        <w:rPr>
          <w:rFonts w:ascii="Times New Roman" w:cs="Times New Roman" w:eastAsia="Times New Roman" w:hAnsi="Times New Roman"/>
          <w:sz w:val="22"/>
          <w:szCs w:val="22"/>
          <w:color w:val="auto"/>
        </w:rPr>
        <w:t>”) with the Forbearing Lenders’ advisors to review among other matters, business operations, liquidity, cash flow forecasts, and progress and updates on the Restructuring (it being understood and agreed that the Weekly Calls contemplated by this paragraph 7 may be combined with weekly Transition Committee Calls contemplated by the Restructuring Term Sheet) and will cause its advisors otherwise to keep the Forbearing Lenders’ advisors informed of any material developments and provide any information reasonably requested by the Forbearing Lenders’ advisors;</w:t>
      </w:r>
    </w:p>
    <w:p>
      <w:pPr>
        <w:spacing w:after="0" w:line="194" w:lineRule="exact"/>
        <w:rPr>
          <w:rFonts w:ascii="Times New Roman" w:cs="Times New Roman" w:eastAsia="Times New Roman" w:hAnsi="Times New Roman"/>
          <w:sz w:val="22"/>
          <w:szCs w:val="22"/>
          <w:color w:val="auto"/>
        </w:rPr>
      </w:pPr>
    </w:p>
    <w:p>
      <w:pPr>
        <w:jc w:val="both"/>
        <w:ind w:left="660" w:hanging="328"/>
        <w:spacing w:after="0" w:line="249"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 enter into any new, or any amendment, modification, waiver, supplement, restatement or other change to any, compensation, incentive, consulting, offer, or employment agreement, arrangement, plan, program or policy (including, for the avoidance of doubt, any severance agreements) with respect to any officers or other members of the executive leadership team of the Group (including, for the avoidance of doubt, any non-ordinary course retention or incentive program or similar program or arrangement) or (b) enter into any new broad-based severance or retention agreement, arrangement, plan, program or policy, or any amendment, modification, waiver, supplement, restatement or other change to any broad-based severance or retention agreement, arrangement, plan, program or policy that has been instituted, entered into or authorized as of the date of the RSA;</w:t>
      </w:r>
    </w:p>
    <w:p>
      <w:pPr>
        <w:spacing w:after="0" w:line="181"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 enter into any new substantive contract or commitment relating to FLNG 2-5, or (b) amend or settle any material contract or commitment relating to FLNG 2-5, if the amendment or settlement requires a payment that exceeds $5,000,000 individually or $20,000,000 in the aggregate when taken together with other payments pursuant to this clause (b); provided that the Company Parties shall inform the Forbearing Lenders or their advisors substantially contemporaneously with any such payments; provided, further, the Company Parties may make payments not otherwise permitted by this paragraph 9 if (x) the Company Parties provide notice to the Forbearing Lenders or their advisors at least forty-eight (48) hours prior to making such payment, and the Majority FLNG2 Supporting Creditors do not object to such payment within such forty-eight (48)-hour period, and (y) such payment is made to a counterparty that the Company Parties believe, in good faith, after consultation with their own advisors, is critical;</w:t>
      </w:r>
    </w:p>
    <w:p>
      <w:pPr>
        <w:spacing w:after="0" w:line="179"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commence development, construction, engineering, procurement, or contracting activities relating to any new project, facility, or infrastructure asset not in operation, or contemplated by the Company’s business plan, as of the Agreement Effective Date;</w:t>
      </w:r>
    </w:p>
    <w:p>
      <w:pPr>
        <w:spacing w:after="0" w:line="172" w:lineRule="exact"/>
        <w:rPr>
          <w:rFonts w:ascii="Times New Roman" w:cs="Times New Roman" w:eastAsia="Times New Roman" w:hAnsi="Times New Roman"/>
          <w:sz w:val="22"/>
          <w:szCs w:val="22"/>
          <w:color w:val="auto"/>
        </w:rPr>
      </w:pPr>
    </w:p>
    <w:p>
      <w:pPr>
        <w:ind w:left="660" w:hanging="328"/>
        <w:spacing w:after="0" w:line="271" w:lineRule="auto"/>
        <w:tabs>
          <w:tab w:leader="none" w:pos="65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unreasonably withhold, condition, or delay execution of an Advisor Fee Letter with any local or specialty counsel engaged by the Agent under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22"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22"/>
          <w:szCs w:val="22"/>
          <w:color w:val="auto"/>
        </w:rPr>
        <w:t>Facility Agreement, including any maritime counsel or counsel in Mexico, Puerto Rico, Bermuda, Brazil, or Vanuatu;</w:t>
      </w:r>
    </w:p>
    <w:p>
      <w:pPr>
        <w:spacing w:after="0" w:line="220" w:lineRule="exact"/>
        <w:rPr>
          <w:sz w:val="20"/>
          <w:szCs w:val="20"/>
          <w:color w:val="auto"/>
        </w:rPr>
      </w:pPr>
    </w:p>
    <w:p>
      <w:pPr>
        <w:jc w:val="both"/>
        <w:ind w:left="660" w:hanging="328"/>
        <w:spacing w:after="0" w:line="263"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make any material change in any material method of financial accounting or material financial accounting practice, policy or procedure other than as may be appropriate to conform to changes in applicable generally accepted accounting principles in effect from time to time (or any interpretation thereof) after the date hereof;</w:t>
      </w:r>
    </w:p>
    <w:p>
      <w:pPr>
        <w:spacing w:after="0" w:line="167"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ordinary course of business (including expirations, renewals, terminations in accordance with any such material agreements, contracts, arrangements, or understandings in the ordinary course of business), it will not enter into, amend, or terminate, as applicable, any material agreements, contracts, arrangements, or understandings between any member of the Group, on the one hand, and any other member of the Group or any Related Parties of the Group, on the other hand;</w:t>
      </w:r>
    </w:p>
    <w:p>
      <w:pPr>
        <w:spacing w:after="0" w:line="178"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amend or change any provisions of any organizational documents of any member of the Group nor waive any such provision outside of waivers provided in the ordinary course of business consistent with past practice related to board of director matters;</w:t>
      </w:r>
    </w:p>
    <w:p>
      <w:pPr>
        <w:spacing w:after="0" w:line="172"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engage in any material merger, consolidation, disposition, acquisition, investment, dividend, incurrence of indebtedness for borrowed money or other similar transaction outside the ordinary course of business;</w:t>
      </w:r>
    </w:p>
    <w:p>
      <w:pPr>
        <w:spacing w:after="0" w:line="171"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to the extent permitted by the existing Credit agreements, pledge, encumber, assign, sell, or otherwise transfer, offer, or contract to pledge, encumber, assign, sell, or otherwise transfer, in whole or in part, any portion of its right, title, or interests in any equity interests in the Company Parties or members of the Group, whether held directly or indirectly, to the extent such pledge, encumbrance, assignment, sale, or other transfer is reasonably expected to result in material adverse tax consequences to the Company Parties and/or Group;</w:t>
      </w:r>
    </w:p>
    <w:p>
      <w:pPr>
        <w:spacing w:after="0" w:line="194" w:lineRule="exact"/>
        <w:rPr>
          <w:rFonts w:ascii="Times New Roman" w:cs="Times New Roman" w:eastAsia="Times New Roman" w:hAnsi="Times New Roman"/>
          <w:sz w:val="22"/>
          <w:szCs w:val="22"/>
          <w:color w:val="auto"/>
        </w:rPr>
      </w:pPr>
    </w:p>
    <w:p>
      <w:pPr>
        <w:ind w:left="660" w:right="20" w:hanging="328"/>
        <w:spacing w:after="0" w:line="295" w:lineRule="auto"/>
        <w:tabs>
          <w:tab w:leader="none" w:pos="6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ordinary course of business and consistent with past practice, it will not sell, transfer, or license any assets, transfer any business opportunity, or assume any liabilities (including, without limitation, any intellectual property);</w:t>
      </w:r>
    </w:p>
    <w:p>
      <w:pPr>
        <w:spacing w:after="0" w:line="135" w:lineRule="exact"/>
        <w:rPr>
          <w:rFonts w:ascii="Times New Roman" w:cs="Times New Roman" w:eastAsia="Times New Roman" w:hAnsi="Times New Roman"/>
          <w:sz w:val="21"/>
          <w:szCs w:val="21"/>
          <w:color w:val="auto"/>
        </w:rPr>
      </w:pPr>
    </w:p>
    <w:p>
      <w:pPr>
        <w:jc w:val="both"/>
        <w:ind w:left="660" w:hanging="328"/>
        <w:spacing w:after="0" w:line="250" w:lineRule="auto"/>
        <w:tabs>
          <w:tab w:leader="none" w:pos="72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 split, combine or reclassify any outstanding shares of its capital stock or other equity interests, except for any such transaction by a wholly owned subsidiary of a Company Party which remains a wholly owned subsidiary after consummation of such transaction, or (b) declare, set aside or pay any dividend or other distribution payable in cash, stock, property, a combination thereof, or otherwise with respect to any of its capital stock or other equity interests or any capital stock or other equity interests of any other person or entity, except dividends, dividend equivalents and distributions paid by wholly owned subsidiaries of any Company Party to a Company Party or to any of its other wholly owned subsidiaries, in each case other than dividends,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22" w:right="339" w:bottom="1440" w:gutter="0" w:footer="0" w:header="0"/>
        </w:sectPr>
      </w:pPr>
    </w:p>
    <w:bookmarkStart w:id="183" w:name="page184"/>
    <w:bookmarkEnd w:id="183"/>
    <w:p>
      <w:pPr>
        <w:ind w:left="660"/>
        <w:spacing w:after="0" w:line="271" w:lineRule="auto"/>
        <w:rPr>
          <w:sz w:val="20"/>
          <w:szCs w:val="20"/>
          <w:color w:val="auto"/>
        </w:rPr>
      </w:pPr>
      <w:r>
        <w:rPr>
          <w:rFonts w:ascii="Times New Roman" w:cs="Times New Roman" w:eastAsia="Times New Roman" w:hAnsi="Times New Roman"/>
          <w:sz w:val="22"/>
          <w:szCs w:val="22"/>
          <w:color w:val="auto"/>
        </w:rPr>
        <w:t>and distributions from Brazil Parent or any of its wholly owned subsidiaries to any Company Party other than Brazil Parent or any of its wholly owned subsidiaries;</w:t>
      </w:r>
    </w:p>
    <w:p>
      <w:pPr>
        <w:spacing w:after="0" w:line="158" w:lineRule="exact"/>
        <w:rPr>
          <w:sz w:val="20"/>
          <w:szCs w:val="20"/>
          <w:color w:val="auto"/>
        </w:rPr>
      </w:pPr>
    </w:p>
    <w:p>
      <w:pPr>
        <w:jc w:val="both"/>
        <w:ind w:left="660" w:hanging="328"/>
        <w:spacing w:after="0" w:line="256"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enter into any settlement of any material claim, litigation, dispute, controversy, cause of action, proceeding, or appeal (except matters fully covered by insurance) that will materially impair the Company’s ability to consummate the Restructuring or materially impair the value that the Company is committing to provide holders of Debt in accordance with the RSA;</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72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(x) amend and restate, renew, or replace any Specified Material Contract on terms materially less favorable or more burdensome to the Company Parties than the terms of the Specified Material Contract so amended and restated, renewed, or replaced, or (y) other than in the ordinary course of business and consistent with past practice, amend, modify, supplement or terminate any Specified Material Contract;</w:t>
      </w:r>
    </w:p>
    <w:p>
      <w:pPr>
        <w:spacing w:after="0" w:line="176"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use commercially reasonable efforts to obtain LNG financing on or before the Restructuring Effective Date of no less than $200 million on terms and conditions acceptable to Majority Supporting Creditors;</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payments when due of obligations under the Stonebriar Loan Agreement, it will not make any payment of principal, interest or any other amounts under any Debt Document, whether contractually required thereunder or as a voluntary prepayment (other than (x) payments of accrued and unpaid interest on fees pursuant to and under the Letter of Credit Facility Agreement, (y) fees relating to letters of credit under the Revolving Credit Facility Agreement, and (z) agency and similar fees), the Existing Intermediation Facility, or any other indebtedness for borrowed money having equal priority of payments or liens securing such indebtedness with obligations under the Term Loan B Agreement; and</w:t>
      </w:r>
    </w:p>
    <w:p>
      <w:pPr>
        <w:spacing w:after="0" w:line="181"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not, and shall cause the Group not to, directly or indirectly, grant, create, or incur any Lien on any property or assets of the Group to secure (a) indebtedness for borrowed money or in respect of intermediation or cash flow facilities existing as of the Agreement Effective Date that was not secured by such property or assets as of the Agreement Effective Date or (b) any new indebtedness for borrowed money or in respect of intermediation or cash flow facilities incurred on or after the Agreement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1240"/>
          </w:cols>
          <w:pgMar w:left="320" w:top="1422" w:right="339" w:bottom="1440" w:gutter="0" w:footer="0" w:header="0"/>
        </w:sectPr>
      </w:pPr>
    </w:p>
    <w:bookmarkStart w:id="184" w:name="page185"/>
    <w:bookmarkEnd w:id="184"/>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Dissolving Entities</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[To be supplemented in accordance with Section 1.01(b) of this Agreement]</w:t>
      </w: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Migrating Entities</w:t>
      </w:r>
    </w:p>
    <w:p>
      <w:pPr>
        <w:spacing w:after="0" w:line="224" w:lineRule="exact"/>
        <w:rPr>
          <w:sz w:val="20"/>
          <w:szCs w:val="20"/>
          <w:color w:val="auto"/>
        </w:rPr>
      </w:pPr>
    </w:p>
    <w:p>
      <w:pPr>
        <w:ind w:left="220" w:hanging="212"/>
        <w:spacing w:after="0"/>
        <w:tabs>
          <w:tab w:leader="none" w:pos="2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NFE Mexico Holdings S.a.r.l.</w:t>
      </w:r>
    </w:p>
    <w:p>
      <w:pPr>
        <w:spacing w:after="0" w:line="219"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NFE Mexico Holdings Parent S.a.r.l.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Sch. 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4903-5186-7024 v.6.1 - MSW</w:t>
      </w:r>
    </w:p>
    <w:p>
      <w:pPr>
        <w:sectPr>
          <w:pgSz w:w="11900" w:h="16838" w:orient="portrait"/>
          <w:cols w:equalWidth="0" w:num="1">
            <w:col w:w="10139"/>
          </w:cols>
          <w:pgMar w:left="320" w:top="1418" w:right="1440"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FORBEARANCE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FORBEARANCE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17, 2026, is made by and among NFE BRAZIL FINANCING LIMITED, a private limited company incorporated under the laws of England and Wales with registered number 15966083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Holders party hereto.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firstLine="1276"/>
        <w:spacing w:after="0" w:line="256" w:lineRule="auto"/>
        <w:rPr>
          <w:sz w:val="20"/>
          <w:szCs w:val="20"/>
          <w:color w:val="auto"/>
        </w:rPr>
      </w:pPr>
      <w:r>
        <w:rPr>
          <w:rFonts w:ascii="Times New Roman" w:cs="Times New Roman" w:eastAsia="Times New Roman" w:hAnsi="Times New Roman"/>
          <w:sz w:val="22"/>
          <w:szCs w:val="22"/>
          <w:color w:val="auto"/>
        </w:rPr>
        <w:t>WHEREAS, the Company, TMF Group New York, LLC, as administrative agent, and the Purchasers are parties to that certain Amended and Restated Note Purchase Agreement, dated as of February 24, 2025 (as amended, restated, amended and restated, supplemented or otherwise modified from time to time prior to the date hereof, the “</w:t>
      </w: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 pursuant to which the Company issued and sold the Notes to each Purchaser.</w:t>
      </w:r>
    </w:p>
    <w:p>
      <w:pPr>
        <w:spacing w:after="0" w:line="176" w:lineRule="exact"/>
        <w:rPr>
          <w:sz w:val="20"/>
          <w:szCs w:val="20"/>
          <w:color w:val="auto"/>
        </w:rPr>
      </w:pPr>
    </w:p>
    <w:p>
      <w:pPr>
        <w:jc w:val="both"/>
        <w:ind w:firstLine="1276"/>
        <w:spacing w:after="0" w:line="250" w:lineRule="auto"/>
        <w:rPr>
          <w:sz w:val="20"/>
          <w:szCs w:val="20"/>
          <w:color w:val="auto"/>
        </w:rPr>
      </w:pPr>
      <w:r>
        <w:rPr>
          <w:rFonts w:ascii="Times New Roman" w:cs="Times New Roman" w:eastAsia="Times New Roman" w:hAnsi="Times New Roman"/>
          <w:sz w:val="22"/>
          <w:szCs w:val="22"/>
          <w:color w:val="auto"/>
        </w:rPr>
        <w:t>WHEREAS, in connection with (i) the Parent Guarantor’s entry into and performance under the Restructuring Support Agreement and/or (ii) the commencement and pursuit of the Upcoming Insolvency Proceeding (the “</w:t>
      </w:r>
      <w:r>
        <w:rPr>
          <w:rFonts w:ascii="Times New Roman" w:cs="Times New Roman" w:eastAsia="Times New Roman" w:hAnsi="Times New Roman"/>
          <w:sz w:val="22"/>
          <w:szCs w:val="22"/>
          <w:u w:val="single" w:color="auto"/>
          <w:color w:val="auto"/>
        </w:rPr>
        <w:t>Restructuring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Matters</w:t>
      </w:r>
      <w:r>
        <w:rPr>
          <w:rFonts w:ascii="Times New Roman" w:cs="Times New Roman" w:eastAsia="Times New Roman" w:hAnsi="Times New Roman"/>
          <w:sz w:val="22"/>
          <w:szCs w:val="22"/>
          <w:color w:val="auto"/>
        </w:rPr>
        <w:t>”), the Company has requested that, during the Forbearance Period, the Holders party hereto forbear from taking Enforcement Actions (as defined below) with respect to certain Defaults and Events of Default (if any) which may have arisen or may arise under the Note Purchase Agreement in connection with the Restructuring Matters.</w:t>
      </w:r>
    </w:p>
    <w:p>
      <w:pPr>
        <w:spacing w:after="0" w:line="194"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2"/>
          <w:szCs w:val="22"/>
          <w:color w:val="auto"/>
        </w:rPr>
        <w:t xml:space="preserve">WHEREAS, the Holders party hereto, constituting the Required Holders, have agreed to forbear from taking Enforcement Action with respect to such Default and Events of Default as further detailed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in each case, on the terms and conditions set forth herein.</w:t>
      </w:r>
    </w:p>
    <w:p>
      <w:pPr>
        <w:spacing w:after="0" w:line="173" w:lineRule="exact"/>
        <w:rPr>
          <w:sz w:val="20"/>
          <w:szCs w:val="20"/>
          <w:color w:val="auto"/>
        </w:rPr>
      </w:pPr>
    </w:p>
    <w:p>
      <w:pPr>
        <w:jc w:val="both"/>
        <w:ind w:right="20" w:firstLine="127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4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Each capitalized term which is defined in the Note Purchase Agreement, but which is not defined in this Agreement, shall have the meaning ascribed to such term in the Note Purchase Agreement. For purposes of this Agreement, the following terms shall have the respective meanings indicated below, such meanings to be applicable equally to both the singular and the plural forms of such terms:</w:t>
      </w:r>
    </w:p>
    <w:p>
      <w:pPr>
        <w:spacing w:after="0" w:line="179"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this Agreement has been duly executed by a duly authorized officer or signatory of the Company, the Parent Guarantor and each of the Holders constituting at least the Required Holders.</w:t>
      </w:r>
    </w:p>
    <w:p>
      <w:pPr>
        <w:spacing w:after="0" w:line="158"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Forbearance Period</w:t>
      </w:r>
      <w:r>
        <w:rPr>
          <w:rFonts w:ascii="Times New Roman" w:cs="Times New Roman" w:eastAsia="Times New Roman" w:hAnsi="Times New Roman"/>
          <w:sz w:val="22"/>
          <w:szCs w:val="22"/>
          <w:color w:val="auto"/>
        </w:rPr>
        <w:t>” means the period from and including the Effective Date until the earlier to occur of any of the following events (the date of such occurrence, the “</w:t>
      </w:r>
      <w:r>
        <w:rPr>
          <w:rFonts w:ascii="Times New Roman" w:cs="Times New Roman" w:eastAsia="Times New Roman" w:hAnsi="Times New Roman"/>
          <w:sz w:val="22"/>
          <w:szCs w:val="22"/>
          <w:u w:val="single" w:color="auto"/>
          <w:color w:val="auto"/>
        </w:rPr>
        <w:t>Forbearance Termination Date</w:t>
      </w:r>
      <w:r>
        <w:rPr>
          <w:rFonts w:ascii="Times New Roman" w:cs="Times New Roman" w:eastAsia="Times New Roman" w:hAnsi="Times New Roman"/>
          <w:sz w:val="22"/>
          <w:szCs w:val="22"/>
          <w:color w:val="auto"/>
        </w:rPr>
        <w:t>”): (i) failure of the Company or any Guarantor to observe or perform, as and when required, any of their respective covenants or other obligations set forth in this Agreement (it being understood that time is of the essence for each such covenant and obligation) that adversely affects the Holders; (ii) the Restructuring Support Agreement terminates as to all</w:t>
      </w:r>
    </w:p>
    <w:p>
      <w:pPr>
        <w:sectPr>
          <w:pgSz w:w="11900" w:h="16838" w:orient="portrait"/>
          <w:cols w:equalWidth="0" w:num="1">
            <w:col w:w="11240"/>
          </w:cols>
          <w:pgMar w:left="320" w:top="122" w:right="339" w:bottom="1440" w:gutter="0" w:footer="0" w:header="0"/>
        </w:sectPr>
      </w:pPr>
    </w:p>
    <w:bookmarkStart w:id="186" w:name="page187"/>
    <w:bookmarkEnd w:id="18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parties thereto in accordance with its terms; (iii) the occurrence of any Default or Event of Default under the Note Purchase Agreement that is not subject to the forbearance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herein; (iv) any creditor or any other holder of any debt of the Parent Guarantor, the Company or any Guarantor (other than with respect to the Notes) exercises, or seeks to exercise, any right or remedy against any portion of the Collateral; or (v) December 31, 2026.</w:t>
      </w:r>
    </w:p>
    <w:p>
      <w:pPr>
        <w:spacing w:after="0" w:line="176" w:lineRule="exact"/>
        <w:rPr>
          <w:sz w:val="20"/>
          <w:szCs w:val="20"/>
          <w:color w:val="auto"/>
        </w:rPr>
      </w:pPr>
    </w:p>
    <w:p>
      <w:pPr>
        <w:jc w:val="both"/>
        <w:ind w:right="20" w:firstLine="63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Restructuring Default</w:t>
      </w:r>
      <w:r>
        <w:rPr>
          <w:rFonts w:ascii="Times New Roman" w:cs="Times New Roman" w:eastAsia="Times New Roman" w:hAnsi="Times New Roman"/>
          <w:sz w:val="21"/>
          <w:szCs w:val="21"/>
          <w:color w:val="auto"/>
        </w:rPr>
        <w:t>” means, solely for purposes of Sections 12(i), (j) and (k) of the Note Purchase Agreement, the Parent Guarantor’s entry into the Restructuring Support Agreement and the occurrence of any Upcoming Insolvency Proceeding.</w:t>
      </w:r>
    </w:p>
    <w:p>
      <w:pPr>
        <w:spacing w:after="0" w:line="131" w:lineRule="exact"/>
        <w:rPr>
          <w:sz w:val="20"/>
          <w:szCs w:val="20"/>
          <w:color w:val="auto"/>
        </w:rPr>
      </w:pPr>
    </w:p>
    <w:p>
      <w:pPr>
        <w:jc w:val="both"/>
        <w:ind w:firstLine="63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Restructuring Support Agreement</w:t>
      </w:r>
      <w:r>
        <w:rPr>
          <w:rFonts w:ascii="Times New Roman" w:cs="Times New Roman" w:eastAsia="Times New Roman" w:hAnsi="Times New Roman"/>
          <w:sz w:val="22"/>
          <w:szCs w:val="22"/>
          <w:color w:val="auto"/>
        </w:rPr>
        <w:t xml:space="preserve">” means the Restructuring Support Agreement in the form attached hereto as </w:t>
      </w: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22"/>
          <w:szCs w:val="22"/>
          <w:color w:val="auto"/>
        </w:rPr>
        <w:t>, without giving effect to any amendments or modifications thereto.</w:t>
      </w:r>
    </w:p>
    <w:p>
      <w:pPr>
        <w:spacing w:after="0" w:line="167"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Upcoming Insolvency Proceeding</w:t>
      </w:r>
      <w:r>
        <w:rPr>
          <w:rFonts w:ascii="Times New Roman" w:cs="Times New Roman" w:eastAsia="Times New Roman" w:hAnsi="Times New Roman"/>
          <w:sz w:val="22"/>
          <w:szCs w:val="22"/>
          <w:color w:val="auto"/>
        </w:rPr>
        <w:t>” means the Insolvency Proceeding as contemplated by and in furtherance of the Restructuring Support Agreement.</w:t>
      </w:r>
    </w:p>
    <w:p>
      <w:pPr>
        <w:spacing w:after="0" w:line="131"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Forbearance</w:t>
      </w:r>
      <w:r>
        <w:rPr>
          <w:rFonts w:ascii="Times New Roman" w:cs="Times New Roman" w:eastAsia="Times New Roman" w:hAnsi="Times New Roman"/>
          <w:sz w:val="22"/>
          <w:szCs w:val="22"/>
          <w:color w:val="auto"/>
        </w:rPr>
        <w:t>. Notwithstanding anything to the contrary in the Note Purchase Agreement, the Holders party hereto, constituting the Required Holders, hereby agree to, during the Forbearance Period, forbear from exercising the rights and remedies available to them under the Note Purchase Agreement, the Collateral Documents, the other Financing Documents and applicable Law, including, without limitation, the right to declare the Notes immediately due and payable and to direct the Administrative Agent to instruct the Collateral Agent to exercise any rights and remedies with respect of the Collateral (collectively, “</w:t>
      </w:r>
      <w:r>
        <w:rPr>
          <w:rFonts w:ascii="Times New Roman" w:cs="Times New Roman" w:eastAsia="Times New Roman" w:hAnsi="Times New Roman"/>
          <w:sz w:val="22"/>
          <w:szCs w:val="22"/>
          <w:u w:val="single" w:color="auto"/>
          <w:color w:val="auto"/>
        </w:rPr>
        <w:t>Enforcement Actions</w:t>
      </w:r>
      <w:r>
        <w:rPr>
          <w:rFonts w:ascii="Times New Roman" w:cs="Times New Roman" w:eastAsia="Times New Roman" w:hAnsi="Times New Roman"/>
          <w:sz w:val="22"/>
          <w:szCs w:val="22"/>
          <w:color w:val="auto"/>
        </w:rPr>
        <w:t xml:space="preserve">”) solely in respect of (i) a Restructuring Default, (ii) the Change of Control of the Parent Guarantor (if any) in accordance with the Restructuring Support Agreement, and (iii) the release of the Parent Guarantee in accordance with the Restructuring Support Agreement. The Company and the Parent Guarantor acknowledge and agree that, on the Forbearance Termination Date, the agreement of the Holders party hereto to forbear from taking Enforcement Actions with respect to the matters listed in </w:t>
      </w:r>
      <w:r>
        <w:rPr>
          <w:rFonts w:ascii="Times New Roman" w:cs="Times New Roman" w:eastAsia="Times New Roman" w:hAnsi="Times New Roman"/>
          <w:sz w:val="22"/>
          <w:szCs w:val="22"/>
          <w:u w:val="single" w:color="auto"/>
          <w:color w:val="auto"/>
        </w:rPr>
        <w:t>items (i)</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immediately and automatically cease and be of no further force or effect, and the Holders party hereto, constituting the Required Holders, and the Agents shall be entitled to immediately take any Enforcement Actions, all without further notice or demand (other than any notice or demand required under the Note Purchase Agreement, the other Financing Documents and applicable Law), in respect of any Restructuring Default then existing. Nothing in this Agreement shall restrict, impair or otherwise affect the Secured Parties’ right or ability to, including during the Forbearance Period, (a) take any action in order to create, perfect, preserve, protect or evidence (but not enforce its rights with respect to) the Secured Parties’ Lien on any Collateral in accordance with the Financing Documents, (b) file any necessary responsive or defensive pleadings (including, without limitation, cross-claims and/or counterclaims) in opposition to any motion, claim, action or proceeding by any Person to object to, disallow or determine invalid, unperfected or avoidable any Liens under the Collateral Documents, the Collateral or any claims of the Secured Parties, (c) enforce the terms of this Agreement, if any creditor or any other holder of any debt of the Parent Guarantor, the Company or any Guarantor (other than with respect to the Notes) exercises, or seeks to exercise, any right or remedy against any portion of the Collateral, or (d) take any action against such creditor or other holder of any debt of the Parent Guarantor, the Company or any Guarantor to protect or enforce the Secured Party’s rights or remedies with respect to the Collateral.</w:t>
      </w:r>
    </w:p>
    <w:p>
      <w:pPr>
        <w:ind w:left="660"/>
        <w:spacing w:after="0" w:line="236" w:lineRule="auto"/>
        <w:tabs>
          <w:tab w:leader="none" w:pos="19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right="20" w:firstLine="1304"/>
        <w:spacing w:after="0" w:line="225"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w:t>
      </w:r>
      <w:r>
        <w:rPr>
          <w:rFonts w:ascii="Times New Roman" w:cs="Times New Roman" w:eastAsia="Times New Roman" w:hAnsi="Times New Roman"/>
          <w:sz w:val="22"/>
          <w:szCs w:val="22"/>
          <w:color w:val="auto"/>
        </w:rPr>
        <w:t>. The provisions of the Note Purchase Agreement and the other Financing Documents shall remain in full force and effect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87" w:name="page188"/>
    <w:bookmarkEnd w:id="187"/>
    <w:p>
      <w:pPr>
        <w:jc w:val="both"/>
        <w:spacing w:after="0" w:line="208" w:lineRule="auto"/>
        <w:rPr>
          <w:sz w:val="20"/>
          <w:szCs w:val="20"/>
          <w:color w:val="auto"/>
        </w:rPr>
      </w:pPr>
      <w:r>
        <w:rPr>
          <w:rFonts w:ascii="Times New Roman" w:cs="Times New Roman" w:eastAsia="Times New Roman" w:hAnsi="Times New Roman"/>
          <w:sz w:val="22"/>
          <w:szCs w:val="22"/>
          <w:color w:val="auto"/>
        </w:rPr>
        <w:t>Nothing contained herein constitute or be construed as a substitution, novation, amendment or waiver of any provision of the Note Purchase Agreement or any other Financing Document, except as expressly set forth herein, and all such documents and the obligations thereunder shall continue in full force and effect. By executing this Agreement on the respective signature lines provided below, the Company (on behalf of itself and the Subsidiary Guarantors) and the Parent Guarantor confirm and ratify all of their respective obligations under the Financing Documents to which each is a party, including its guarantee obligations and the Liens granted by it thereunder.</w:t>
      </w:r>
    </w:p>
    <w:p>
      <w:pPr>
        <w:spacing w:after="0" w:line="5" w:lineRule="exact"/>
        <w:rPr>
          <w:sz w:val="20"/>
          <w:szCs w:val="20"/>
          <w:color w:val="auto"/>
        </w:rPr>
      </w:pPr>
    </w:p>
    <w:p>
      <w:pPr>
        <w:jc w:val="both"/>
        <w:ind w:firstLine="1304"/>
        <w:spacing w:after="0" w:line="204"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2"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4"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JURISDICTION AND PROCESS; WAIVER OF JURY TRIAL</w:t>
      </w:r>
      <w:r>
        <w:rPr>
          <w:rFonts w:ascii="Times New Roman" w:cs="Times New Roman" w:eastAsia="Times New Roman" w:hAnsi="Times New Roman"/>
          <w:sz w:val="21"/>
          <w:szCs w:val="21"/>
          <w:b w:val="1"/>
          <w:bCs w:val="1"/>
          <w:color w:val="auto"/>
        </w:rPr>
        <w:t>. THIS AGREEMENT SHALL BE CONSTRUED AND ENFORCED IN ACCORDANCE WITH, AND THE RIGHTS OF THE PARTIES SHALL BE GOVERNED BY, THE LAW OF THE STATE OF NEW YORK EXCLUDING CHOICE OF LAW PRINCIPLES OF THE LAW OF SUCH STATE THAT WOULD PERMIT THE APPLICATION OF THE LAWS OF A JURISDICTION OTHER THAN SUCH STATE. SECTION 25.7 (</w:t>
      </w:r>
      <w:r>
        <w:rPr>
          <w:rFonts w:ascii="Times New Roman" w:cs="Times New Roman" w:eastAsia="Times New Roman" w:hAnsi="Times New Roman"/>
          <w:sz w:val="21"/>
          <w:szCs w:val="21"/>
          <w:b w:val="1"/>
          <w:bCs w:val="1"/>
          <w:i w:val="1"/>
          <w:iCs w:val="1"/>
          <w:color w:val="auto"/>
        </w:rPr>
        <w:t>JURISDICTION AND PROCESS; WAIVER OF JURY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TRIAL</w:t>
      </w:r>
      <w:r>
        <w:rPr>
          <w:rFonts w:ascii="Times New Roman" w:cs="Times New Roman" w:eastAsia="Times New Roman" w:hAnsi="Times New Roman"/>
          <w:sz w:val="21"/>
          <w:szCs w:val="21"/>
          <w:b w:val="1"/>
          <w:bCs w:val="1"/>
          <w:color w:val="auto"/>
        </w:rPr>
        <w:t>) OF THE NOTE PURCHASE AGREEMENT IS HEREBY INCORPORATED BY REFERENCE.</w:t>
      </w:r>
    </w:p>
    <w:p>
      <w:pPr>
        <w:spacing w:after="0" w:line="4" w:lineRule="exact"/>
        <w:rPr>
          <w:rFonts w:ascii="Times New Roman" w:cs="Times New Roman" w:eastAsia="Times New Roman" w:hAnsi="Times New Roman"/>
          <w:sz w:val="21"/>
          <w:szCs w:val="21"/>
          <w:b w:val="1"/>
          <w:bCs w:val="1"/>
          <w:color w:val="auto"/>
        </w:rPr>
      </w:pPr>
    </w:p>
    <w:p>
      <w:pPr>
        <w:jc w:val="both"/>
        <w:ind w:firstLine="1304"/>
        <w:spacing w:after="0" w:line="214"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53"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to the Note Purchase Agreement and their respective successors and assigns permitted thereby.</w:t>
      </w:r>
    </w:p>
    <w:p>
      <w:pPr>
        <w:spacing w:after="0" w:line="13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Financing Document</w:t>
      </w:r>
      <w:r>
        <w:rPr>
          <w:rFonts w:ascii="Times New Roman" w:cs="Times New Roman" w:eastAsia="Times New Roman" w:hAnsi="Times New Roman"/>
          <w:sz w:val="22"/>
          <w:szCs w:val="22"/>
          <w:color w:val="auto"/>
        </w:rPr>
        <w:t>. This Agreement is a “Financing Document” as defined and described in the Note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Agreement.</w:t>
      </w:r>
    </w:p>
    <w:p>
      <w:pPr>
        <w:spacing w:after="0" w:line="15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Holder Updates</w:t>
      </w:r>
      <w:r>
        <w:rPr>
          <w:rFonts w:ascii="Times New Roman" w:cs="Times New Roman" w:eastAsia="Times New Roman" w:hAnsi="Times New Roman"/>
          <w:sz w:val="22"/>
          <w:szCs w:val="22"/>
          <w:color w:val="auto"/>
        </w:rPr>
        <w:t>. The Company shall promptly (and in any event within five (5) Business Days) upon the Holders’ reasonable request provide the Holders with (i) written updates regarding developments of the status and progress of the Upcoming Insolvency Proceeding that are material to the Holders and (ii) copies of term sheets, pleadings, filings and other key documents with respect to any Upcoming Insolvency Proceeding that are material to the Holders and that the Company is not prohibited from sharing by confidentiality obligations or applicable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 modification, termination or waiver of any provision of this Agreement, or consent to any departure therefrom, shall in any event be effective without the written concurrence of the Company and the Required Holders.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Rights</w:t>
      </w:r>
      <w:r>
        <w:rPr>
          <w:rFonts w:ascii="Times New Roman" w:cs="Times New Roman" w:eastAsia="Times New Roman" w:hAnsi="Times New Roman"/>
          <w:sz w:val="22"/>
          <w:szCs w:val="22"/>
          <w:color w:val="auto"/>
        </w:rPr>
        <w:t>. Except as expressly set forth herein, each of the Holders has not waived, and is not waiving, by the execution of this Agreement or the acceptance of any payments hereunder or under the Note Purchase Agreement, any Default or Event of Default whether now existing or hereafter arising under the Note Purchase Agreement or any of the other Financing Documents, including, for the avoidance of doubt, any Restructuring Default, or its respective rights, remedies, powers, privileges and defenses arising as a result thereof or otherwise, and no failure on the part of the Administrative Agent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88" w:name="page189"/>
    <w:bookmarkEnd w:id="188"/>
    <w:p>
      <w:pPr>
        <w:spacing w:after="0" w:line="17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Holders to exercise and no delay in exercising, including without limitation the right to take any enforcement actions, and no course of dealing with respect to, any right, remedy, power, privilege or defense hereunder, under the Note Purchase Agreement or any other Financing Document, at law or in equity or otherwise, arising as the result of any Default or Event of Default, including, for the avoidance of Doubt, any Restructuring Default, whether now existing or hereafter arising under the Note Purchase Agreement or any of the other Financing Documents or the occurrence thereof or any other action by the Company or the Guarantors and no acceptance of partial performance or partial payment by the Administrative Agent or the Holders, shall operate as a waiver thereof, nor shall any single or partial exercise of any right, remedy, power, privilege or defense hereunder, under the Note Purchase Agreement or under any other Financing Document, at Law, in equity or otherwise, preclude any other or further exercise thereof or the exercise of any other right, remedy, power, privilege or defense nor shall any failure to specify any Default or Event of Default in this Agreement constitute any waiver of such Default or Event of Default. The rights, remedies, powers, privileges and defenses provided for herein, in the Note Purchase Agreement and the other Financing Documents are cumulative and, except as expressly provided hereunder, may be exercised separately, successively or concurrently at the sole discretion of the Holders, and are not exclusive of any rights, remedies, powers, privileges and defenses provided at Law, in equity or otherwise, all of which are hereby expressly reserved. Notwithstanding the existence or content of any communication by or between the Company or any Guarantor and any Holder, or any of their representatives, including, but not limited to, the Administrative Agent, regarding any Default or Event of Default, no waiver, forbearance, or other similar action by the Administrative Agent or any Holder with regard to such Default or Event of Default, whether now existing or hereafter arising under the Note Purchase Agreement or any of the other Financing Documents, shall be effective unless the same is set forth herein or has been in writing and executed by an authorized representatives of each Holder required under the applicable provisions of the Note Purchase Agreement.</w:t>
      </w:r>
    </w:p>
    <w:p>
      <w:pPr>
        <w:spacing w:after="0" w:line="15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Professional Fees</w:t>
      </w:r>
      <w:r>
        <w:rPr>
          <w:rFonts w:ascii="Times New Roman" w:cs="Times New Roman" w:eastAsia="Times New Roman" w:hAnsi="Times New Roman"/>
          <w:sz w:val="22"/>
          <w:szCs w:val="22"/>
          <w:color w:val="auto"/>
        </w:rPr>
        <w:t xml:space="preserve">. The Company agrees to pay all reasonable and documented out-of-pocket expenses incurred by the Agents and the Holders hereto in connection with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fees, charges and disbursements of counsel are limited (absent an actual or bona fide potential conflict of interest) to Milbank LLP, as counsel to Lumina Capital Management and (y) all expenses shall be invoiced at least thirty (30) days prior to the requested payment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begin next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duly executed and delivered by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 and duly authorized officers as of the day and year first above written.</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NFE BRAZIL FINANCING LIMITED</w:t>
      </w:r>
      <w:r>
        <w:rPr>
          <w:rFonts w:ascii="Times New Roman" w:cs="Times New Roman" w:eastAsia="Times New Roman" w:hAnsi="Times New Roman"/>
          <w:sz w:val="22"/>
          <w:szCs w:val="22"/>
          <w:color w:val="auto"/>
        </w:rPr>
        <w:t>, as the Company</w:t>
      </w:r>
    </w:p>
    <w:p>
      <w:pPr>
        <w:spacing w:after="0" w:line="34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Guinta</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FORTRESS ENERGY INC.</w:t>
      </w:r>
      <w:r>
        <w:rPr>
          <w:rFonts w:ascii="Times New Roman" w:cs="Times New Roman" w:eastAsia="Times New Roman" w:hAnsi="Times New Roman"/>
          <w:sz w:val="22"/>
          <w:szCs w:val="22"/>
          <w:color w:val="auto"/>
        </w:rPr>
        <w:t>, as the Parent Guarantor</w:t>
      </w:r>
    </w:p>
    <w:p>
      <w:pPr>
        <w:spacing w:after="0" w:line="33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Forbearance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LSSF II OFFSHORE INVESTMENTS, LP </w:t>
      </w:r>
      <w:r>
        <w:rPr>
          <w:rFonts w:ascii="Times New Roman" w:cs="Times New Roman" w:eastAsia="Times New Roman" w:hAnsi="Times New Roman"/>
          <w:sz w:val="22"/>
          <w:szCs w:val="22"/>
          <w:color w:val="auto"/>
        </w:rPr>
        <w:t>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LUMINA BRASIL OFFSHORE INVESTMENTS COMPANY, LP</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Represented by Lumina Fund II GP Ltd.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59"/>
        <w:spacing w:after="0" w:line="261" w:lineRule="auto"/>
        <w:rPr>
          <w:sz w:val="20"/>
          <w:szCs w:val="20"/>
          <w:color w:val="auto"/>
        </w:rPr>
      </w:pPr>
      <w:r>
        <w:rPr>
          <w:rFonts w:ascii="Times New Roman" w:cs="Times New Roman" w:eastAsia="Times New Roman" w:hAnsi="Times New Roman"/>
          <w:sz w:val="21"/>
          <w:szCs w:val="21"/>
          <w:b w:val="1"/>
          <w:bCs w:val="1"/>
          <w:color w:val="auto"/>
        </w:rPr>
        <w:t>LUMINA STRATEGIC SOLUTIONS FUND (A), LP</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LUMINA STRATEGIC SOLUTIONS FUND (B), LP</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LUMINA STRATEGIC SOLUTIONS FUND (C), LP</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LUMINA STRATEGIC SOLUTIONS FUND (D), LP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LUMINA STRATEGIC SOLUTIONS FUND (E), LP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LUMINA STRATEGIC SOLUTIONS FUND (F), LP</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Represented by Lumina Fund I GP Ltd.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Forbearance Agreement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Restructuring Support Agreement</w:t>
      </w:r>
    </w:p>
    <w:p>
      <w:pPr>
        <w:sectPr>
          <w:pgSz w:w="11900" w:h="16838" w:orient="portrait"/>
          <w:cols w:equalWidth="0" w:num="1">
            <w:col w:w="9019"/>
          </w:cols>
          <w:pgMar w:left="1440" w:top="1418"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Wesley R. Edens, certify that:</w:t>
      </w:r>
    </w:p>
    <w:p>
      <w:pPr>
        <w:spacing w:after="0" w:line="198"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New Fortress Energy Inc. (the “registrant”);</w:t>
      </w:r>
    </w:p>
    <w:p>
      <w:pPr>
        <w:spacing w:after="0" w:line="18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43180</wp:posOffset>
            </wp:positionV>
            <wp:extent cx="186880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2">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43180</wp:posOffset>
            </wp:positionV>
            <wp:extent cx="186880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3">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8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Wesley R. Edens</w:t>
      </w:r>
    </w:p>
    <w:p>
      <w:pPr>
        <w:spacing w:after="0" w:line="7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Guinta, certify that:</w:t>
      </w:r>
    </w:p>
    <w:p>
      <w:pPr>
        <w:spacing w:after="0" w:line="198"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New Fortress Energy Inc. (the “registrant”);</w:t>
      </w:r>
    </w:p>
    <w:p>
      <w:pPr>
        <w:spacing w:after="0" w:line="18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17145</wp:posOffset>
            </wp:positionV>
            <wp:extent cx="186880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4">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17145</wp:posOffset>
            </wp:positionV>
            <wp:extent cx="186880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5">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Christopher S. Guinta</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3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UNDER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 OXLEY ACT OF 2002, 18 U.S.C. § 1350</w:t>
      </w:r>
    </w:p>
    <w:p>
      <w:pPr>
        <w:spacing w:after="0" w:line="16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New Fortress Energy Inc. (the “Company”) for the quarter ended March 31, 2026,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49"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43180</wp:posOffset>
            </wp:positionV>
            <wp:extent cx="186880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6">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43180</wp:posOffset>
            </wp:positionV>
            <wp:extent cx="186880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7">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8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Wesley R. Edens</w:t>
      </w:r>
    </w:p>
    <w:p>
      <w:pPr>
        <w:spacing w:after="0" w:line="7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UNDER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 OXLEY ACT OF 2002, 18 U.S.C. § 1350</w:t>
      </w:r>
    </w:p>
    <w:p>
      <w:pPr>
        <w:spacing w:after="0" w:line="1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New Fortress Energy Inc. (the “Company”) for the quarter ended March 31, 2026,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49"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17145</wp:posOffset>
            </wp:positionV>
            <wp:extent cx="186880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8">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17145</wp:posOffset>
            </wp:positionV>
            <wp:extent cx="186880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9">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Christopher S. Guinta</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x"/>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emdash "/>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lvl w:ilvl="1">
      <w:lvlJc w:val="left"/>
      <w:lvlText w:val="◦"/>
      <w:numFmt w:val="bullet"/>
      <w:start w:val="1"/>
    </w:lvl>
  </w:abstractNum>
  <w:abstractNum w:abstractNumId="9">
    <w:nsid w:val="4F4EF005"/>
    <w:multiLevelType w:val="hybridMultilevel"/>
    <w:lvl w:ilvl="0">
      <w:lvlJc w:val="left"/>
      <w:lvlText w:val="%1."/>
      <w:numFmt w:val="lowerLetter"/>
      <w:start w:val="1"/>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1)"/>
      <w:numFmt w:val="lowerRoman"/>
      <w:start w:val="3"/>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lowerLetter"/>
      <w:start w:val="2"/>
    </w:lvl>
  </w:abstractNum>
  <w:abstractNum w:abstractNumId="49">
    <w:nsid w:val="540A471C"/>
    <w:multiLevelType w:val="hybridMultilevel"/>
    <w:lvl w:ilvl="0">
      <w:lvlJc w:val="left"/>
      <w:lvlText w:val="%1"/>
      <w:numFmt w:val="upperLetter"/>
      <w:start w:val="1"/>
    </w:lvl>
    <w:lvl w:ilvl="1">
      <w:lvlJc w:val="left"/>
      <w:lvlText w:val="(%2)"/>
      <w:numFmt w:val="lowerLetter"/>
      <w:start w:val="1"/>
    </w:lvl>
  </w:abstractNum>
  <w:abstractNum w:abstractNumId="50">
    <w:nsid w:val="7BD3EE7B"/>
    <w:multiLevelType w:val="hybridMultilevel"/>
    <w:lvl w:ilvl="0">
      <w:lvlJc w:val="left"/>
      <w:lvlText w:val="(%1)"/>
      <w:numFmt w:val="upperLetter"/>
      <w:start w:val="7"/>
    </w:lvl>
    <w:lvl w:ilvl="1">
      <w:lvlJc w:val="left"/>
      <w:lvlText w:val="(%2)"/>
      <w:numFmt w:val="lowerLetter"/>
      <w:start w:val="3"/>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lowerLetter"/>
      <w:start w:val="6"/>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2"/>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1"/>
    </w:lvl>
    <w:lvl w:ilvl="1">
      <w:lvlJc w:val="left"/>
      <w:lvlText w:val="%2."/>
      <w:numFmt w:val="lowerLetter"/>
      <w:start w:val="1"/>
    </w:lvl>
  </w:abstractNum>
  <w:abstractNum w:abstractNumId="58">
    <w:nsid w:val="1A32234B"/>
    <w:multiLevelType w:val="hybridMultilevel"/>
    <w:lvl w:ilvl="0">
      <w:lvlJc w:val="left"/>
      <w:lvlText w:val="%1."/>
      <w:numFmt w:val="upperLetter"/>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1">
    <w:nsid w:val="4962813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2">
    <w:nsid w:val="60B6DF70"/>
    <w:multiLevelType w:val="hybridMultilevel"/>
    <w:lvl w:ilvl="0">
      <w:lvlJc w:val="left"/>
      <w:lvlText w:val="(%1)"/>
      <w:numFmt w:val="upperLetter"/>
      <w:start w:val="4"/>
    </w:lvl>
  </w:abstractNum>
  <w:abstractNum w:abstractNumId="63">
    <w:nsid w:val="6A5EE64"/>
    <w:multiLevelType w:val="hybridMultilevel"/>
    <w:lvl w:ilvl="0">
      <w:lvlJc w:val="left"/>
      <w:lvlText w:val="(%1)"/>
      <w:numFmt w:val="upperLetter"/>
      <w:start w:val="11"/>
    </w:lvl>
  </w:abstractNum>
  <w:abstractNum w:abstractNumId="64">
    <w:nsid w:val="14330624"/>
    <w:multiLevelType w:val="hybridMultilevel"/>
    <w:lvl w:ilvl="0">
      <w:lvlJc w:val="left"/>
      <w:lvlText w:val="(%1)"/>
      <w:numFmt w:val="upperLetter"/>
      <w:start w:val="15"/>
    </w:lvl>
  </w:abstractNum>
  <w:abstractNum w:abstractNumId="65">
    <w:nsid w:val="7FFFCA11"/>
    <w:multiLevelType w:val="hybridMultilevel"/>
    <w:lvl w:ilvl="0">
      <w:lvlJc w:val="left"/>
      <w:lvlText w:val="%1."/>
      <w:numFmt w:val="upperLetter"/>
      <w:start w:val="1"/>
    </w:lvl>
  </w:abstractNum>
  <w:abstractNum w:abstractNumId="66">
    <w:nsid w:val="1A27709E"/>
    <w:multiLevelType w:val="hybridMultilevel"/>
    <w:lvl w:ilvl="0">
      <w:lvlJc w:val="left"/>
      <w:lvlText w:val="%1."/>
      <w:numFmt w:val="upperLetter"/>
      <w:start w:val="5"/>
    </w:lvl>
  </w:abstractNum>
  <w:abstractNum w:abstractNumId="67">
    <w:nsid w:val="71EA1109"/>
    <w:multiLevelType w:val="hybridMultilevel"/>
    <w:lvl w:ilvl="0">
      <w:lvlJc w:val="left"/>
      <w:lvlText w:val="%1."/>
      <w:numFmt w:val="upperLetter"/>
      <w:start w:val="1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1"/>
    </w:lvl>
    <w:lvl w:ilvl="1">
      <w:lvlJc w:val="left"/>
      <w:lvlText w:val="(%2)"/>
      <w:numFmt w:val="lowerLetter"/>
      <w:start w:val="9"/>
    </w:lvl>
  </w:abstractNum>
  <w:abstractNum w:abstractNumId="70">
    <w:nsid w:val="6EB5BD4"/>
    <w:multiLevelType w:val="hybridMultilevel"/>
    <w:lvl w:ilvl="0">
      <w:lvlJc w:val="left"/>
      <w:lvlText w:val="%1"/>
      <w:numFmt w:val="lowerLetter"/>
      <w:start w:val="1"/>
    </w:lvl>
    <w:lvl w:ilvl="1">
      <w:lvlJc w:val="left"/>
      <w:lvlText w:val="(%2)"/>
      <w:numFmt w:val="lowerRoman"/>
      <w:start w:val="2"/>
    </w:lvl>
  </w:abstractNum>
  <w:abstractNum w:abstractNumId="71">
    <w:nsid w:val="6F6DD9AC"/>
    <w:multiLevelType w:val="hybridMultilevel"/>
    <w:lvl w:ilvl="0">
      <w:lvlJc w:val="left"/>
      <w:lvlText w:val="(%1)"/>
      <w:numFmt w:val="lowerLetter"/>
      <w:start w:val="4"/>
    </w:lvl>
    <w:lvl w:ilvl="1">
      <w:lvlJc w:val="left"/>
      <w:lvlText w:val="%2"/>
      <w:numFmt w:val="lowerRoman"/>
      <w:start w:val="1"/>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3"/>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10"/>
    </w:lvl>
  </w:abstractNum>
  <w:abstractNum w:abstractNumId="77">
    <w:nsid w:val="14E17E33"/>
    <w:multiLevelType w:val="hybridMultilevel"/>
    <w:lvl w:ilvl="0">
      <w:lvlJc w:val="left"/>
      <w:lvlText w:val="%1"/>
      <w:numFmt w:val="lowerRoman"/>
      <w:start w:val="1"/>
    </w:lvl>
    <w:lvl w:ilvl="1">
      <w:lvlJc w:val="left"/>
      <w:lvlText w:val="(%2)"/>
      <w:numFmt w:val="lowerLetter"/>
      <w:start w:val="1"/>
    </w:lvl>
  </w:abstractNum>
  <w:abstractNum w:abstractNumId="78">
    <w:nsid w:val="3222E7CD"/>
    <w:multiLevelType w:val="hybridMultilevel"/>
    <w:lvl w:ilvl="0">
      <w:lvlJc w:val="left"/>
      <w:lvlText w:val="(%1)"/>
      <w:numFmt w:val="lowerRoman"/>
      <w:start w:val="4"/>
    </w:lvl>
    <w:lvl w:ilvl="1">
      <w:lvlJc w:val="left"/>
      <w:lvlText w:val="(%2)"/>
      <w:numFmt w:val="lowerLetter"/>
      <w:start w:val="2"/>
    </w:lvl>
  </w:abstractNum>
  <w:abstractNum w:abstractNumId="79">
    <w:nsid w:val="74DE0EE3"/>
    <w:multiLevelType w:val="hybridMultilevel"/>
    <w:lvl w:ilvl="0">
      <w:lvlJc w:val="left"/>
      <w:lvlText w:val="(%1)"/>
      <w:numFmt w:val="lowerRoman"/>
      <w:start w:val="3"/>
    </w:lvl>
    <w:lvl w:ilvl="1">
      <w:lvlJc w:val="left"/>
      <w:lvlText w:val="%2"/>
      <w:numFmt w:val="lowerLetter"/>
      <w:start w:val="1"/>
    </w:lvl>
  </w:abstractNum>
  <w:abstractNum w:abstractNumId="80">
    <w:nsid w:val="68EBC550"/>
    <w:multiLevelType w:val="hybridMultilevel"/>
    <w:lvl w:ilvl="0">
      <w:lvlJc w:val="left"/>
      <w:lvlText w:val="%1"/>
      <w:numFmt w:val="lowerLetter"/>
      <w:start w:val="1"/>
    </w:lvl>
    <w:lvl w:ilvl="1">
      <w:lvlJc w:val="left"/>
      <w:lvlText w:val="(%2)"/>
      <w:numFmt w:val="lowerLetter"/>
      <w:start w:val="3"/>
    </w:lvl>
  </w:abstractNum>
  <w:abstractNum w:abstractNumId="81">
    <w:nsid w:val="2DF6D648"/>
    <w:multiLevelType w:val="hybridMultilevel"/>
    <w:lvl w:ilvl="0">
      <w:lvlJc w:val="left"/>
      <w:lvlText w:val="(%1)"/>
      <w:numFmt w:val="lowerLetter"/>
      <w:start w:val="4"/>
    </w:lvl>
    <w:lvl w:ilvl="1">
      <w:lvlJc w:val="left"/>
      <w:lvlText w:val="%2"/>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7"/>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7"/>
    </w:lvl>
  </w:abstractNum>
  <w:abstractNum w:abstractNumId="90">
    <w:nsid w:val="7F01579B"/>
    <w:multiLevelType w:val="hybridMultilevel"/>
    <w:lvl w:ilvl="0">
      <w:lvlJc w:val="left"/>
      <w:lvlText w:val="%1."/>
      <w:numFmt w:val="decimal"/>
      <w:start w:val="12"/>
    </w:lvl>
  </w:abstractNum>
  <w:abstractNum w:abstractNumId="91">
    <w:nsid w:val="49DA307D"/>
    <w:multiLevelType w:val="hybridMultilevel"/>
    <w:lvl w:ilvl="0">
      <w:lvlJc w:val="left"/>
      <w:lvlText w:val="%1."/>
      <w:numFmt w:val="decimal"/>
      <w:start w:val="19"/>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decimal"/>
      <w:start w:val="2"/>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9" Type="http://schemas.openxmlformats.org/officeDocument/2006/relationships/image" Target="media/image120.png"/><Relationship Id="rId146" Type="http://schemas.openxmlformats.org/officeDocument/2006/relationships/image" Target="media/image121.png"/><Relationship Id="rId158" Type="http://schemas.openxmlformats.org/officeDocument/2006/relationships/image" Target="media/image122.png"/><Relationship Id="rId160" Type="http://schemas.openxmlformats.org/officeDocument/2006/relationships/image" Target="media/image123.png"/><Relationship Id="rId162" Type="http://schemas.openxmlformats.org/officeDocument/2006/relationships/image" Target="media/image124.png"/><Relationship Id="rId164" Type="http://schemas.openxmlformats.org/officeDocument/2006/relationships/image" Target="media/image125.png"/><Relationship Id="rId166" Type="http://schemas.openxmlformats.org/officeDocument/2006/relationships/image" Target="media/image126.png"/><Relationship Id="rId168" Type="http://schemas.openxmlformats.org/officeDocument/2006/relationships/image" Target="media/image127.png"/><Relationship Id="rId170" Type="http://schemas.openxmlformats.org/officeDocument/2006/relationships/image" Target="media/image128.png"/><Relationship Id="rId172" Type="http://schemas.openxmlformats.org/officeDocument/2006/relationships/image" Target="media/image129.png"/><Relationship Id="rId174"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90" Type="http://schemas.openxmlformats.org/officeDocument/2006/relationships/image" Target="media/image135.png"/><Relationship Id="rId192" Type="http://schemas.openxmlformats.org/officeDocument/2006/relationships/image" Target="media/image136.png"/><Relationship Id="rId194" Type="http://schemas.openxmlformats.org/officeDocument/2006/relationships/image" Target="media/image137.png"/><Relationship Id="rId196" Type="http://schemas.openxmlformats.org/officeDocument/2006/relationships/image" Target="media/image138.png"/><Relationship Id="rId198" Type="http://schemas.openxmlformats.org/officeDocument/2006/relationships/image" Target="media/image139.png"/><Relationship Id="rId200" Type="http://schemas.openxmlformats.org/officeDocument/2006/relationships/image" Target="media/image140.png"/><Relationship Id="rId202" Type="http://schemas.openxmlformats.org/officeDocument/2006/relationships/image" Target="media/image141.png"/><Relationship Id="rId204"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9" Type="http://schemas.openxmlformats.org/officeDocument/2006/relationships/image" Target="media/image145.png"/><Relationship Id="rId211" Type="http://schemas.openxmlformats.org/officeDocument/2006/relationships/image" Target="media/image146.png"/><Relationship Id="rId213" Type="http://schemas.openxmlformats.org/officeDocument/2006/relationships/image" Target="media/image147.png"/><Relationship Id="rId215" Type="http://schemas.openxmlformats.org/officeDocument/2006/relationships/image" Target="media/image148.png"/><Relationship Id="rId217" Type="http://schemas.openxmlformats.org/officeDocument/2006/relationships/image" Target="media/image149.png"/><Relationship Id="rId219" Type="http://schemas.openxmlformats.org/officeDocument/2006/relationships/image" Target="media/image150.png"/><Relationship Id="rId221" Type="http://schemas.openxmlformats.org/officeDocument/2006/relationships/image" Target="media/image151.png"/><Relationship Id="rId223" Type="http://schemas.openxmlformats.org/officeDocument/2006/relationships/image" Target="media/image152.png"/><Relationship Id="rId225" Type="http://schemas.openxmlformats.org/officeDocument/2006/relationships/image" Target="media/image153.png"/><Relationship Id="rId226" Type="http://schemas.openxmlformats.org/officeDocument/2006/relationships/image" Target="media/image154.png"/><Relationship Id="rId236" Type="http://schemas.openxmlformats.org/officeDocument/2006/relationships/image" Target="media/image155.png"/><Relationship Id="rId237" Type="http://schemas.openxmlformats.org/officeDocument/2006/relationships/image" Target="media/image156.png"/><Relationship Id="rId239" Type="http://schemas.openxmlformats.org/officeDocument/2006/relationships/image" Target="media/image157.png"/><Relationship Id="rId241" Type="http://schemas.openxmlformats.org/officeDocument/2006/relationships/image" Target="media/image158.png"/><Relationship Id="rId243" Type="http://schemas.openxmlformats.org/officeDocument/2006/relationships/image" Target="media/image159.png"/><Relationship Id="rId245" Type="http://schemas.openxmlformats.org/officeDocument/2006/relationships/image" Target="media/image160.png"/><Relationship Id="rId247" Type="http://schemas.openxmlformats.org/officeDocument/2006/relationships/image" Target="media/image161.png"/><Relationship Id="rId249" Type="http://schemas.openxmlformats.org/officeDocument/2006/relationships/image" Target="media/image162.png"/><Relationship Id="rId251" Type="http://schemas.openxmlformats.org/officeDocument/2006/relationships/image" Target="media/image163.png"/><Relationship Id="rId253" Type="http://schemas.openxmlformats.org/officeDocument/2006/relationships/image" Target="media/image164.png"/><Relationship Id="rId255" Type="http://schemas.openxmlformats.org/officeDocument/2006/relationships/image" Target="media/image165.png"/><Relationship Id="rId257" Type="http://schemas.openxmlformats.org/officeDocument/2006/relationships/image" Target="media/image166.png"/><Relationship Id="rId258" Type="http://schemas.openxmlformats.org/officeDocument/2006/relationships/image" Target="media/image167.png"/><Relationship Id="rId269" Type="http://schemas.openxmlformats.org/officeDocument/2006/relationships/image" Target="media/image168.png"/><Relationship Id="rId272" Type="http://schemas.openxmlformats.org/officeDocument/2006/relationships/image" Target="media/image169.png"/><Relationship Id="rId273" Type="http://schemas.openxmlformats.org/officeDocument/2006/relationships/image" Target="media/image170.png"/><Relationship Id="rId274" Type="http://schemas.openxmlformats.org/officeDocument/2006/relationships/image" Target="media/image171.png"/><Relationship Id="rId275" Type="http://schemas.openxmlformats.org/officeDocument/2006/relationships/image" Target="media/image172.png"/><Relationship Id="rId276" Type="http://schemas.openxmlformats.org/officeDocument/2006/relationships/image" Target="media/image173.png"/><Relationship Id="rId277" Type="http://schemas.openxmlformats.org/officeDocument/2006/relationships/image" Target="media/image174.png"/><Relationship Id="rId278" Type="http://schemas.openxmlformats.org/officeDocument/2006/relationships/image" Target="media/image175.png"/><Relationship Id="rId279" Type="http://schemas.openxmlformats.org/officeDocument/2006/relationships/image" Target="media/image176.png"/><Relationship Id="rId280" Type="http://schemas.openxmlformats.org/officeDocument/2006/relationships/image" Target="media/image177.png"/><Relationship Id="rId281" Type="http://schemas.openxmlformats.org/officeDocument/2006/relationships/image" Target="media/image178.png"/><Relationship Id="rId282" Type="http://schemas.openxmlformats.org/officeDocument/2006/relationships/image" Target="media/image179.png"/><Relationship Id="rId283" Type="http://schemas.openxmlformats.org/officeDocument/2006/relationships/image" Target="media/image180.png"/><Relationship Id="rId284" Type="http://schemas.openxmlformats.org/officeDocument/2006/relationships/image" Target="media/image181.png"/><Relationship Id="rId285" Type="http://schemas.openxmlformats.org/officeDocument/2006/relationships/image" Target="media/image182.png"/><Relationship Id="rId286" Type="http://schemas.openxmlformats.org/officeDocument/2006/relationships/image" Target="media/image183.png"/><Relationship Id="rId287" Type="http://schemas.openxmlformats.org/officeDocument/2006/relationships/image" Target="media/image184.png"/><Relationship Id="rId288" Type="http://schemas.openxmlformats.org/officeDocument/2006/relationships/image" Target="media/image185.png"/><Relationship Id="rId289" Type="http://schemas.openxmlformats.org/officeDocument/2006/relationships/image" Target="media/image186.png"/><Relationship Id="rId290" Type="http://schemas.openxmlformats.org/officeDocument/2006/relationships/image" Target="media/image187.png"/><Relationship Id="rId291" Type="http://schemas.openxmlformats.org/officeDocument/2006/relationships/image" Target="media/image188.png"/><Relationship Id="rId292" Type="http://schemas.openxmlformats.org/officeDocument/2006/relationships/image" Target="media/image189.png"/><Relationship Id="rId293" Type="http://schemas.openxmlformats.org/officeDocument/2006/relationships/image" Target="media/image190.png"/><Relationship Id="rId294" Type="http://schemas.openxmlformats.org/officeDocument/2006/relationships/image" Target="media/image191.png"/><Relationship Id="rId295" Type="http://schemas.openxmlformats.org/officeDocument/2006/relationships/image" Target="media/image192.png"/><Relationship Id="rId296" Type="http://schemas.openxmlformats.org/officeDocument/2006/relationships/image" Target="media/image193.png"/><Relationship Id="rId297" Type="http://schemas.openxmlformats.org/officeDocument/2006/relationships/image" Target="media/image194.png"/><Relationship Id="rId298" Type="http://schemas.openxmlformats.org/officeDocument/2006/relationships/image" Target="media/image195.png"/><Relationship Id="rId299" Type="http://schemas.openxmlformats.org/officeDocument/2006/relationships/image" Target="media/image196.png"/><Relationship Id="rId300" Type="http://schemas.openxmlformats.org/officeDocument/2006/relationships/image" Target="media/image197.png"/><Relationship Id="rId301" Type="http://schemas.openxmlformats.org/officeDocument/2006/relationships/image" Target="media/image198.png"/><Relationship Id="rId302" Type="http://schemas.openxmlformats.org/officeDocument/2006/relationships/image" Target="media/image199.png"/><Relationship Id="rId303" Type="http://schemas.openxmlformats.org/officeDocument/2006/relationships/image" Target="media/image200.png"/><Relationship Id="rId304" Type="http://schemas.openxmlformats.org/officeDocument/2006/relationships/image" Target="media/image201.png"/><Relationship Id="rId305" Type="http://schemas.openxmlformats.org/officeDocument/2006/relationships/image" Target="media/image202.png"/><Relationship Id="rId306" Type="http://schemas.openxmlformats.org/officeDocument/2006/relationships/image" Target="media/image203.png"/><Relationship Id="rId307" Type="http://schemas.openxmlformats.org/officeDocument/2006/relationships/image" Target="media/image204.png"/><Relationship Id="rId308" Type="http://schemas.openxmlformats.org/officeDocument/2006/relationships/image" Target="media/image205.png"/><Relationship Id="rId309" Type="http://schemas.openxmlformats.org/officeDocument/2006/relationships/image" Target="media/image206.png"/><Relationship Id="rId310" Type="http://schemas.openxmlformats.org/officeDocument/2006/relationships/image" Target="media/image207.png"/><Relationship Id="rId311" Type="http://schemas.openxmlformats.org/officeDocument/2006/relationships/image" Target="media/image208.png"/><Relationship Id="rId312" Type="http://schemas.openxmlformats.org/officeDocument/2006/relationships/image" Target="media/image209.png"/><Relationship Id="rId313" Type="http://schemas.openxmlformats.org/officeDocument/2006/relationships/image" Target="media/image210.png"/><Relationship Id="rId314" Type="http://schemas.openxmlformats.org/officeDocument/2006/relationships/image" Target="media/image211.png"/><Relationship Id="rId315" Type="http://schemas.openxmlformats.org/officeDocument/2006/relationships/image" Target="media/image212.png"/><Relationship Id="rId316" Type="http://schemas.openxmlformats.org/officeDocument/2006/relationships/image" Target="media/image213.png"/><Relationship Id="rId317" Type="http://schemas.openxmlformats.org/officeDocument/2006/relationships/image" Target="media/image214.png"/><Relationship Id="rId318" Type="http://schemas.openxmlformats.org/officeDocument/2006/relationships/image" Target="media/image215.png"/><Relationship Id="rId319" Type="http://schemas.openxmlformats.org/officeDocument/2006/relationships/image" Target="media/image216.png"/><Relationship Id="rId320" Type="http://schemas.openxmlformats.org/officeDocument/2006/relationships/image" Target="media/image217.png"/><Relationship Id="rId321" Type="http://schemas.openxmlformats.org/officeDocument/2006/relationships/image" Target="media/image218.png"/><Relationship Id="rId322" Type="http://schemas.openxmlformats.org/officeDocument/2006/relationships/image" Target="media/image219.png"/><Relationship Id="rId323" Type="http://schemas.openxmlformats.org/officeDocument/2006/relationships/image" Target="media/image220.png"/><Relationship Id="rId324" Type="http://schemas.openxmlformats.org/officeDocument/2006/relationships/image" Target="media/image221.png"/><Relationship Id="rId325" Type="http://schemas.openxmlformats.org/officeDocument/2006/relationships/image" Target="media/image222.png"/><Relationship Id="rId326" Type="http://schemas.openxmlformats.org/officeDocument/2006/relationships/image" Target="media/image223.png"/><Relationship Id="rId327" Type="http://schemas.openxmlformats.org/officeDocument/2006/relationships/image" Target="media/image224.png"/><Relationship Id="rId328" Type="http://schemas.openxmlformats.org/officeDocument/2006/relationships/image" Target="media/image225.png"/><Relationship Id="rId329" Type="http://schemas.openxmlformats.org/officeDocument/2006/relationships/image" Target="media/image226.png"/><Relationship Id="rId330" Type="http://schemas.openxmlformats.org/officeDocument/2006/relationships/image" Target="media/image227.png"/><Relationship Id="rId331" Type="http://schemas.openxmlformats.org/officeDocument/2006/relationships/image" Target="media/image228.png"/><Relationship Id="rId332" Type="http://schemas.openxmlformats.org/officeDocument/2006/relationships/image" Target="media/image229.png"/><Relationship Id="rId333" Type="http://schemas.openxmlformats.org/officeDocument/2006/relationships/image" Target="media/image230.png"/><Relationship Id="rId334" Type="http://schemas.openxmlformats.org/officeDocument/2006/relationships/image" Target="media/image231.png"/><Relationship Id="rId335" Type="http://schemas.openxmlformats.org/officeDocument/2006/relationships/image" Target="media/image232.png"/><Relationship Id="rId336" Type="http://schemas.openxmlformats.org/officeDocument/2006/relationships/image" Target="media/image233.png"/><Relationship Id="rId337" Type="http://schemas.openxmlformats.org/officeDocument/2006/relationships/image" Target="media/image234.png"/><Relationship Id="rId338" Type="http://schemas.openxmlformats.org/officeDocument/2006/relationships/image" Target="media/image235.png"/><Relationship Id="rId339" Type="http://schemas.openxmlformats.org/officeDocument/2006/relationships/image" Target="media/image236.png"/><Relationship Id="rId340" Type="http://schemas.openxmlformats.org/officeDocument/2006/relationships/image" Target="media/image237.png"/><Relationship Id="rId341" Type="http://schemas.openxmlformats.org/officeDocument/2006/relationships/image" Target="media/image238.png"/><Relationship Id="rId342" Type="http://schemas.openxmlformats.org/officeDocument/2006/relationships/image" Target="media/image239.png"/><Relationship Id="rId343" Type="http://schemas.openxmlformats.org/officeDocument/2006/relationships/image" Target="media/image240.png"/><Relationship Id="rId344" Type="http://schemas.openxmlformats.org/officeDocument/2006/relationships/image" Target="media/image241.png"/><Relationship Id="rId345" Type="http://schemas.openxmlformats.org/officeDocument/2006/relationships/image" Target="media/image242.png"/><Relationship Id="rId346" Type="http://schemas.openxmlformats.org/officeDocument/2006/relationships/image" Target="media/image243.png"/><Relationship Id="rId347" Type="http://schemas.openxmlformats.org/officeDocument/2006/relationships/image" Target="media/image244.png"/><Relationship Id="rId348" Type="http://schemas.openxmlformats.org/officeDocument/2006/relationships/image" Target="media/image245.png"/><Relationship Id="rId349" Type="http://schemas.openxmlformats.org/officeDocument/2006/relationships/image" Target="media/image246.png"/><Relationship Id="rId350" Type="http://schemas.openxmlformats.org/officeDocument/2006/relationships/image" Target="media/image247.png"/><Relationship Id="rId351" Type="http://schemas.openxmlformats.org/officeDocument/2006/relationships/image" Target="media/image248.png"/><Relationship Id="rId352" Type="http://schemas.openxmlformats.org/officeDocument/2006/relationships/image" Target="media/image249.png"/><Relationship Id="rId353" Type="http://schemas.openxmlformats.org/officeDocument/2006/relationships/image" Target="media/image250.png"/><Relationship Id="rId354" Type="http://schemas.openxmlformats.org/officeDocument/2006/relationships/image" Target="media/image251.png"/><Relationship Id="rId355" Type="http://schemas.openxmlformats.org/officeDocument/2006/relationships/image" Target="media/image252.png"/><Relationship Id="rId356" Type="http://schemas.openxmlformats.org/officeDocument/2006/relationships/image" Target="media/image253.png"/><Relationship Id="rId357" Type="http://schemas.openxmlformats.org/officeDocument/2006/relationships/image" Target="media/image254.png"/><Relationship Id="rId358" Type="http://schemas.openxmlformats.org/officeDocument/2006/relationships/image" Target="media/image255.png"/><Relationship Id="rId359" Type="http://schemas.openxmlformats.org/officeDocument/2006/relationships/image" Target="media/image256.png"/><Relationship Id="rId360" Type="http://schemas.openxmlformats.org/officeDocument/2006/relationships/image" Target="media/image257.png"/><Relationship Id="rId361" Type="http://schemas.openxmlformats.org/officeDocument/2006/relationships/image" Target="media/image258.png"/><Relationship Id="rId362" Type="http://schemas.openxmlformats.org/officeDocument/2006/relationships/image" Target="media/image259.png"/><Relationship Id="rId363" Type="http://schemas.openxmlformats.org/officeDocument/2006/relationships/image" Target="media/image260.png"/><Relationship Id="rId364" Type="http://schemas.openxmlformats.org/officeDocument/2006/relationships/image" Target="media/image261.png"/><Relationship Id="rId365" Type="http://schemas.openxmlformats.org/officeDocument/2006/relationships/image" Target="media/image262.png"/><Relationship Id="rId366" Type="http://schemas.openxmlformats.org/officeDocument/2006/relationships/image" Target="media/image263.png"/><Relationship Id="rId367" Type="http://schemas.openxmlformats.org/officeDocument/2006/relationships/image" Target="media/image264.png"/><Relationship Id="rId368" Type="http://schemas.openxmlformats.org/officeDocument/2006/relationships/image" Target="media/image265.png"/><Relationship Id="rId369" Type="http://schemas.openxmlformats.org/officeDocument/2006/relationships/image" Target="media/image266.png"/><Relationship Id="rId127" Type="http://schemas.openxmlformats.org/officeDocument/2006/relationships/hyperlink" Target="https://www.sec.gov/Archives/edgar/data/1749723/000114036120017367/brhc10013767_ex99-2.htm" TargetMode="External"/><Relationship Id="rId128" Type="http://schemas.openxmlformats.org/officeDocument/2006/relationships/hyperlink" Target="https://www.sec.gov/Archives/edgar/data/1749723/000114036120017367/brhc10013767_ex99-3.htm" TargetMode="External"/><Relationship Id="rId130" Type="http://schemas.openxmlformats.org/officeDocument/2006/relationships/hyperlink" Target="https://www.sec.gov/Archives/edgar/data/1749723/000174972326000013/exhibit31-certificateofeli.htm" TargetMode="External"/><Relationship Id="rId131" Type="http://schemas.openxmlformats.org/officeDocument/2006/relationships/hyperlink" Target="https://www.sec.gov/Archives/edgar/data/1749723/000114036120017367/brhc10013767_ex99-4.htm" TargetMode="External"/><Relationship Id="rId132" Type="http://schemas.openxmlformats.org/officeDocument/2006/relationships/hyperlink" Target="https://www.sec.gov/Archives/edgar/data/0001749723/000114036122007364/brhc10034476_ex4-1.htm" TargetMode="External"/><Relationship Id="rId133" Type="http://schemas.openxmlformats.org/officeDocument/2006/relationships/hyperlink" Target="https://www.sec.gov/Archives/edgar/data/1749723/000114036118045661/s002392x8_ex10-4.htm" TargetMode="External"/><Relationship Id="rId134" Type="http://schemas.openxmlformats.org/officeDocument/2006/relationships/hyperlink" Target="https://www.sec.gov/Archives/edgar/data/1749723/000174972322000028/exhibit6_psu.htm" TargetMode="External"/><Relationship Id="rId135" Type="http://schemas.openxmlformats.org/officeDocument/2006/relationships/hyperlink" Target="https://www.sec.gov/Archives/edgar/data/1749723/000114036119002493/s002392x20_ex4-1.htm" TargetMode="External"/><Relationship Id="rId136" Type="http://schemas.openxmlformats.org/officeDocument/2006/relationships/hyperlink" Target="https://www.sec.gov/Archives/edgar/data/1749723/000114036119002493/s002392x20_ex10-3.htm" TargetMode="External"/><Relationship Id="rId137" Type="http://schemas.openxmlformats.org/officeDocument/2006/relationships/hyperlink" Target="https://www.sec.gov/Archives/edgar/data/1749723/000114036119002493/s002392x20_ex10-4.htm" TargetMode="External"/><Relationship Id="rId138" Type="http://schemas.openxmlformats.org/officeDocument/2006/relationships/hyperlink" Target="https://www.sec.gov/Archives/edgar/data/1749723/000114036119002493/s002392x20_ex10-5.htm" TargetMode="External"/><Relationship Id="rId139" Type="http://schemas.openxmlformats.org/officeDocument/2006/relationships/hyperlink" Target="https://www.sec.gov/Archives/edgar/data/1749723/000114036119002493/s002392x20_ex10-7.htm" TargetMode="External"/><Relationship Id="rId140" Type="http://schemas.openxmlformats.org/officeDocument/2006/relationships/hyperlink" Target="https://www.sec.gov/Archives/edgar/data/1749723/000114036119002493/s002392x20_ex10-8.htm" TargetMode="External"/><Relationship Id="rId141" Type="http://schemas.openxmlformats.org/officeDocument/2006/relationships/hyperlink" Target="https://www.sec.gov/Archives/edgar/data/1749723/000114036119002493/s002392x20_ex10-9.htm" TargetMode="External"/><Relationship Id="rId142" Type="http://schemas.openxmlformats.org/officeDocument/2006/relationships/hyperlink" Target="https://www.sec.gov/Archives/edgar/data/1749723/000174972325000100/indemnificationagreement-s.htm" TargetMode="External"/><Relationship Id="rId143" Type="http://schemas.openxmlformats.org/officeDocument/2006/relationships/hyperlink" Target="https://www.sec.gov/Archives/edgar/data/1749723/000114036119002493/s002392x20_ex10-11.htm" TargetMode="External"/><Relationship Id="rId144" Type="http://schemas.openxmlformats.org/officeDocument/2006/relationships/hyperlink" Target="https://www.sec.gov/Archives/edgar/data/1749723/000114036119002493/s002392x20_ex10-12.htm" TargetMode="External"/><Relationship Id="rId145" Type="http://schemas.openxmlformats.org/officeDocument/2006/relationships/hyperlink" Target="https://www.sec.gov/Archives/edgar/data/1749723/000174972323000030/indemnificationagreement.htm" TargetMode="External"/><Relationship Id="rId147" Type="http://schemas.openxmlformats.org/officeDocument/2006/relationships/hyperlink" Target="https://www.sec.gov/Archives/edgar/data/1749723/000174972325000100/indemnificationagreement-l.htm" TargetMode="External"/><Relationship Id="rId148" Type="http://schemas.openxmlformats.org/officeDocument/2006/relationships/hyperlink" Target="https://www.sec.gov/Archives/edgar/data/1749723/000174972323000010/a1017-christopherguintaxof.htm" TargetMode="External"/><Relationship Id="rId149" Type="http://schemas.openxmlformats.org/officeDocument/2006/relationships/hyperlink" Target="https://www.sec.gov/Archives/edgar/data/0001749723/000114036121012455/brhc10022997_ex4-1.htm" TargetMode="External"/><Relationship Id="rId150" Type="http://schemas.openxmlformats.org/officeDocument/2006/relationships/hyperlink" Target="https://www.sec.gov/Archives/edgar/data/0001749723/000114036121012455/brhc10022997_ex4-2.htm" TargetMode="External"/><Relationship Id="rId151" Type="http://schemas.openxmlformats.org/officeDocument/2006/relationships/hyperlink" Target="https://www.sec.gov/Archives/edgar/data/1749723/000174972323000010/a1029-2026notesxfirstsuppl.htm" TargetMode="External"/><Relationship Id="rId152" Type="http://schemas.openxmlformats.org/officeDocument/2006/relationships/hyperlink" Target="https://www.sec.gov/Archives/edgar/data/1749723/000174972323000010/a1030-2026notesxsecondsupp.htm" TargetMode="External"/><Relationship Id="rId153" Type="http://schemas.openxmlformats.org/officeDocument/2006/relationships/hyperlink" Target="https://www.sec.gov/Archives/edgar/data/1749723/000174972323000010/a1031-2026notesxthirdsuppl.htm" TargetMode="External"/><Relationship Id="rId154" Type="http://schemas.openxmlformats.org/officeDocument/2006/relationships/hyperlink" Target="https://www.sec.gov/Archives/edgar/data/1749723/000174972323000010/a1032-2026notesxfourthsupp.htm" TargetMode="External"/><Relationship Id="rId155" Type="http://schemas.openxmlformats.org/officeDocument/2006/relationships/hyperlink" Target="https://www.sec.gov/Archives/edgar/data/1749723/000174972323000010/a1033-2026notesxfifthsuppl.htm" TargetMode="External"/><Relationship Id="rId156" Type="http://schemas.openxmlformats.org/officeDocument/2006/relationships/hyperlink" Target="https://www.sec.gov/Archives/edgar/data/1749723/000174972325000029/nfe-sixthsupplementalind.htm" TargetMode="External"/><Relationship Id="rId157" Type="http://schemas.openxmlformats.org/officeDocument/2006/relationships/hyperlink" Target="https://www.sec.gov/Archives/edgar/data/1749723/000174972325000029/nfe-seventhsupplementalinda.htm" TargetMode="External"/><Relationship Id="rId159" Type="http://schemas.openxmlformats.org/officeDocument/2006/relationships/hyperlink" Target="https://www.sec.gov/Archives/edgar/data/0001749723/000114036121013692/brhc10023371_ex10-2.htm" TargetMode="External"/><Relationship Id="rId161" Type="http://schemas.openxmlformats.org/officeDocument/2006/relationships/hyperlink" Target="https://www.sec.gov/Archives/edgar/data/0001749723/000114036122007364/brhc10034476_ex10-30.htm" TargetMode="External"/><Relationship Id="rId163" Type="http://schemas.openxmlformats.org/officeDocument/2006/relationships/hyperlink" Target="https://www.sec.gov/Archives/edgar/data/0001749723/000114036122007364/brhc10034476_ex10-31.htm" TargetMode="External"/><Relationship Id="rId165" Type="http://schemas.openxmlformats.org/officeDocument/2006/relationships/hyperlink" Target="https://www.sec.gov/Archives/edgar/data/0001749723/000174972322000010/third_amendmentxtoxrcfxcre.htm" TargetMode="External"/><Relationship Id="rId167" Type="http://schemas.openxmlformats.org/officeDocument/2006/relationships/hyperlink" Target="https://www.sec.gov/Archives/edgar/data/1749723/000174972323000010/a1038-fourthamendmenttorcf.htm" TargetMode="External"/><Relationship Id="rId169" Type="http://schemas.openxmlformats.org/officeDocument/2006/relationships/hyperlink" Target="https://www.sec.gov/Archives/edgar/data/1749723/000174972323000057/a001-amendmentno5torcf10.htm" TargetMode="External"/><Relationship Id="rId171" Type="http://schemas.openxmlformats.org/officeDocument/2006/relationships/hyperlink" Target="https://www.sec.gov/Archives/edgar/data/1749723/000174972324000011/rcfupsize-sixthamendment.htm" TargetMode="External"/><Relationship Id="rId173" Type="http://schemas.openxmlformats.org/officeDocument/2006/relationships/hyperlink" Target="https://www.sec.gov/Archives/edgar/data/1749723/000174972324000072/nfe-rcfx7thamendment.htm" TargetMode="External"/><Relationship Id="rId175" Type="http://schemas.openxmlformats.org/officeDocument/2006/relationships/hyperlink" Target="https://www.sec.gov/Archives/edgar/data/1749723/000174972324000116/a01nfe-rcfaramendmentno8.htm" TargetMode="External"/><Relationship Id="rId178" Type="http://schemas.openxmlformats.org/officeDocument/2006/relationships/hyperlink" Target="https://www.sec.gov/Archives/edgar/data/1749723/000174972325000029/nfe-conformedcreditagreeme.htm" TargetMode="External"/><Relationship Id="rId179" Type="http://schemas.openxmlformats.org/officeDocument/2006/relationships/hyperlink" Target="https://www.sec.gov/Archives/edgar/data/1749723/000174972325000029/nfe-rcfx10thamendment.htm" TargetMode="External"/><Relationship Id="rId180" Type="http://schemas.openxmlformats.org/officeDocument/2006/relationships/hyperlink" Target="https://www.sec.gov/Archives/edgar/data/1749723/000174972325000100/rcf11thamendment.htm" TargetMode="External"/><Relationship Id="rId181" Type="http://schemas.openxmlformats.org/officeDocument/2006/relationships/hyperlink" Target="https://www.sec.gov/Archives/edgar/data/1749723/000174972325000100/rcfamendedandrestated11tha.htm" TargetMode="External"/><Relationship Id="rId182" Type="http://schemas.openxmlformats.org/officeDocument/2006/relationships/hyperlink" Target="https://www.sec.gov/Archives/edgar/data/1749723/000174972325000123/a01-nfexrcf12thamendmentex.htm" TargetMode="External"/><Relationship Id="rId183" Type="http://schemas.openxmlformats.org/officeDocument/2006/relationships/hyperlink" Target="https://www.sec.gov/Archives/edgar/data/1749723/000174972326000032/nfe-rcfx13thamendmentexe.htm" TargetMode="External"/><Relationship Id="rId184" Type="http://schemas.openxmlformats.org/officeDocument/2006/relationships/hyperlink" Target="https://www.sec.gov/Archives/edgar/data/1749723/000174972326000032/a09nfe-fourteenthamendment.htm" TargetMode="External"/><Relationship Id="rId185" Type="http://schemas.openxmlformats.org/officeDocument/2006/relationships/hyperlink" Target="https://www.sec.gov/Archives/edgar/data/1749723/000174972326000032/a09anfe-rcfconformedcredit.htm" TargetMode="External"/><Relationship Id="rId186" Type="http://schemas.openxmlformats.org/officeDocument/2006/relationships/hyperlink" Target="https://www.sec.gov/Archives/edgar/data/1749723/000174972322000028/exhibit40_apolloepca.htm" TargetMode="External"/><Relationship Id="rId189" Type="http://schemas.openxmlformats.org/officeDocument/2006/relationships/hyperlink" Target="https://www.sec.gov/Archives/edgar/data/1749723/000174972325000100/tab001-nfenatixislettero.htm" TargetMode="External"/><Relationship Id="rId191" Type="http://schemas.openxmlformats.org/officeDocument/2006/relationships/hyperlink" Target="https://www.sec.gov/Archives/edgar/data/1749723/000174972322000028/exhibit41_natixisamendme.htm" TargetMode="External"/><Relationship Id="rId193" Type="http://schemas.openxmlformats.org/officeDocument/2006/relationships/hyperlink" Target="https://www.sec.gov/Archives/edgar/data/1749723/000174972323000010/a1045-incrementaljoinderto.htm" TargetMode="External"/><Relationship Id="rId195" Type="http://schemas.openxmlformats.org/officeDocument/2006/relationships/hyperlink" Target="https://www.sec.gov/Archives/edgar/data/1749723/000174972324000011/nfeincrementaljoindertou.htm" TargetMode="External"/><Relationship Id="rId197" Type="http://schemas.openxmlformats.org/officeDocument/2006/relationships/hyperlink" Target="https://www.sec.gov/Archives/edgar/data/1749723/000174972324000072/nfenatixisamendment3-exe.htm" TargetMode="External"/><Relationship Id="rId199" Type="http://schemas.openxmlformats.org/officeDocument/2006/relationships/hyperlink" Target="https://www.sec.gov/Archives/edgar/data/1749723/000174972324000116/a06nfeulcaamendment4comp.htm" TargetMode="External"/><Relationship Id="rId201" Type="http://schemas.openxmlformats.org/officeDocument/2006/relationships/hyperlink" Target="https://www.sec.gov/Archives/edgar/data/1749723/000174972325000029/nfeulca-fifthamendmentagre.htm" TargetMode="External"/><Relationship Id="rId203" Type="http://schemas.openxmlformats.org/officeDocument/2006/relationships/hyperlink" Target="https://www.sec.gov/Archives/edgar/data/1749723/000174972325000029/nfeulcasixthamendmentagr.htm" TargetMode="External"/><Relationship Id="rId205" Type="http://schemas.openxmlformats.org/officeDocument/2006/relationships/hyperlink" Target="https://www.sec.gov/Archives/edgar/data/1749723/000174972325000100/lcf7thamendment.htm" TargetMode="External"/><Relationship Id="rId208" Type="http://schemas.openxmlformats.org/officeDocument/2006/relationships/hyperlink" Target="https://www.sec.gov/Archives/edgar/data/1749723/000174972325000100/lcfar7thamendment-executio.htm" TargetMode="External"/><Relationship Id="rId210" Type="http://schemas.openxmlformats.org/officeDocument/2006/relationships/hyperlink" Target="https://www.sec.gov/Archives/edgar/data/1749723/000174972325000123/nfe-lcf8thamendmentexecuti.htm" TargetMode="External"/><Relationship Id="rId212" Type="http://schemas.openxmlformats.org/officeDocument/2006/relationships/hyperlink" Target="https://www.sec.gov/Archives/edgar/data/1749723/000174972325000149/a01nfe_ulcadeferralagreeme.htm" TargetMode="External"/><Relationship Id="rId214" Type="http://schemas.openxmlformats.org/officeDocument/2006/relationships/hyperlink" Target="https://www.sec.gov/Archives/edgar/data/1749723/000174972325000149/a02nfe_ulca2nddeferralagre.htm" TargetMode="External"/><Relationship Id="rId216" Type="http://schemas.openxmlformats.org/officeDocument/2006/relationships/hyperlink" Target="https://www.sec.gov/Archives/edgar/data/1749723/000174972325000149/a03nfe-extensionagreemente.htm" TargetMode="External"/><Relationship Id="rId218" Type="http://schemas.openxmlformats.org/officeDocument/2006/relationships/hyperlink" Target="https://www.sec.gov/Archives/edgar/data/1749723/000174972325000149/a04nfe_ulca-secondextensio.htm" TargetMode="External"/><Relationship Id="rId220" Type="http://schemas.openxmlformats.org/officeDocument/2006/relationships/hyperlink" Target="https://www.sec.gov/Archives/edgar/data/1749723/000174972325000149/a05nfe-lcf9thamendmentexec.htm" TargetMode="External"/><Relationship Id="rId222" Type="http://schemas.openxmlformats.org/officeDocument/2006/relationships/hyperlink" Target="https://www.sec.gov/Archives/edgar/data/1749723/000174972325000149/a06nfe_lcadeferralagreemen.htm" TargetMode="External"/><Relationship Id="rId224" Type="http://schemas.openxmlformats.org/officeDocument/2006/relationships/hyperlink" Target="https://www.sec.gov/Archives/edgar/data/1749723/000174972326000032/a01nfe_lca10thamendmentand.htm" TargetMode="External"/><Relationship Id="rId227" Type="http://schemas.openxmlformats.org/officeDocument/2006/relationships/hyperlink" Target="https://www.sec.gov/Archives/edgar/data/1749723/000174972326000032/a02nfe-lcf11thamendment.htm" TargetMode="External"/><Relationship Id="rId228" Type="http://schemas.openxmlformats.org/officeDocument/2006/relationships/hyperlink" Target="https://www.sec.gov/Archives/edgar/data/1749723/000174972326000032/a06nfe-lcf12thamendment.htm" TargetMode="External"/><Relationship Id="rId229" Type="http://schemas.openxmlformats.org/officeDocument/2006/relationships/hyperlink" Target="https://www.sec.gov/Archives/edgar/data/1749723/000174972326000032/a08nfe-lcf13thamendment.htm" TargetMode="External"/><Relationship Id="rId230" Type="http://schemas.openxmlformats.org/officeDocument/2006/relationships/hyperlink" Target="https://www.sec.gov/Archives/edgar/data/1749723/000174972326000032/a08anfe-lcfconformedcredit.htm" TargetMode="External"/><Relationship Id="rId231" Type="http://schemas.openxmlformats.org/officeDocument/2006/relationships/hyperlink" Target="https://www.sec.gov/Archives/edgar/data/1749723/000174972324000011/nfe-tlbxcreditagreemente.htm" TargetMode="External"/><Relationship Id="rId232" Type="http://schemas.openxmlformats.org/officeDocument/2006/relationships/hyperlink" Target="https://www.sec.gov/Archives/edgar/data/1749723/000174972325000100/tlb-amendmentno2.htm" TargetMode="External"/><Relationship Id="rId233" Type="http://schemas.openxmlformats.org/officeDocument/2006/relationships/hyperlink" Target="https://www.sec.gov/Archives/edgar/data/1749723/000174972326000032/a11projectlady-tlbforbeara.htm" TargetMode="External"/><Relationship Id="rId234" Type="http://schemas.openxmlformats.org/officeDocument/2006/relationships/hyperlink" Target="https://www.sec.gov/Archives/edgar/data/1749723/000174972324000019/nfe-indenture.htm" TargetMode="External"/><Relationship Id="rId235" Type="http://schemas.openxmlformats.org/officeDocument/2006/relationships/hyperlink" Target="https://www.sec.gov/Archives/edgar/data/1749723/000174972325000029/nfe-firstsupplementalind.htm" TargetMode="External"/><Relationship Id="rId238" Type="http://schemas.openxmlformats.org/officeDocument/2006/relationships/hyperlink" Target="https://www.sec.gov/Archives/edgar/data/1749723/000174972325000029/nfe-secondsupplementalindea.htm" TargetMode="External"/><Relationship Id="rId240" Type="http://schemas.openxmlformats.org/officeDocument/2006/relationships/hyperlink" Target="https://www.sec.gov/Archives/edgar/data/1749723/000174972324000019/nfe-2029bondsxpledgeands.htm" TargetMode="External"/><Relationship Id="rId242" Type="http://schemas.openxmlformats.org/officeDocument/2006/relationships/hyperlink" Target="https://www.sec.gov/Archives/edgar/data/1749723/000174972324000072/a001-nfexflng2creditagre.htm" TargetMode="External"/><Relationship Id="rId244" Type="http://schemas.openxmlformats.org/officeDocument/2006/relationships/hyperlink" Target="https://www.sec.gov/Archives/edgar/data/1749723/000174972325000029/chisr02a-1256466xv4xnfe_xx.htm" TargetMode="External"/><Relationship Id="rId246" Type="http://schemas.openxmlformats.org/officeDocument/2006/relationships/hyperlink" Target="https://www.sec.gov/Archives/edgar/data/1749723/000174972325000029/nfe-tlaamendmentno2.htm" TargetMode="External"/><Relationship Id="rId248" Type="http://schemas.openxmlformats.org/officeDocument/2006/relationships/hyperlink" Target="https://www.sec.gov/Archives/edgar/data/1749723/000174972325000029/nfe-tlaamendmentno3.htm" TargetMode="External"/><Relationship Id="rId250" Type="http://schemas.openxmlformats.org/officeDocument/2006/relationships/hyperlink" Target="https://www.sec.gov/Archives/edgar/data/1749723/000174972325000100/a001-tlaxnfextlaamendmentn.htm" TargetMode="External"/><Relationship Id="rId252" Type="http://schemas.openxmlformats.org/officeDocument/2006/relationships/hyperlink" Target="https://www.sec.gov/Archives/edgar/data/1749723/000174972325000123/nfe-tla5thamendmentxfinale.htm" TargetMode="External"/><Relationship Id="rId254" Type="http://schemas.openxmlformats.org/officeDocument/2006/relationships/hyperlink" Target="https://www.sec.gov/Archives/edgar/data/1749723/000174972326000032/a05nfe-tlasixthamendment.htm" TargetMode="External"/><Relationship Id="rId256" Type="http://schemas.openxmlformats.org/officeDocument/2006/relationships/hyperlink" Target="https://www.sec.gov/Archives/edgar/data/1749723/000174972326000032/a10nfe-tla7thamendment.htm" TargetMode="External"/><Relationship Id="rId259" Type="http://schemas.openxmlformats.org/officeDocument/2006/relationships/hyperlink" Target="https://www.sec.gov/Archives/edgar/data/1749723/000174972326000032/a10anfe-tlaconformedcredit.htm" TargetMode="External"/><Relationship Id="rId260" Type="http://schemas.openxmlformats.org/officeDocument/2006/relationships/hyperlink" Target="https://www.sec.gov/Archives/edgar/data/1749723/000174972326000032/a12projectlady-tlaforbeara.htm" TargetMode="External"/><Relationship Id="rId261" Type="http://schemas.openxmlformats.org/officeDocument/2006/relationships/hyperlink" Target="https://www.sec.gov/Archives/edgar/data/1749723/000174972325000029/chisr01a-1152838xv7xnfe_se.htm" TargetMode="External"/><Relationship Id="rId262" Type="http://schemas.openxmlformats.org/officeDocument/2006/relationships/hyperlink" Target="https://www.sec.gov/Archives/edgar/data/1749723/000174972325000029/zs_temp-43513200xv1x001xxx.htm" TargetMode="External"/><Relationship Id="rId263" Type="http://schemas.openxmlformats.org/officeDocument/2006/relationships/hyperlink" Target="https://www.sec.gov/Archives/edgar/data/1749723/000174972325000029/chisr02a-1257162xv16xnfe_x.htm" TargetMode="External"/><Relationship Id="rId264" Type="http://schemas.openxmlformats.org/officeDocument/2006/relationships/hyperlink" Target="https://www.sec.gov/Archives/edgar/data/1749723/000174972325000029/nfe-newcoindenturexexecuti.htm" TargetMode="External"/><Relationship Id="rId265" Type="http://schemas.openxmlformats.org/officeDocument/2006/relationships/hyperlink" Target="https://www.sec.gov/Archives/edgar/data/1749723/000174972325000029/nferegistrationrightsagr.htm" TargetMode="External"/><Relationship Id="rId266" Type="http://schemas.openxmlformats.org/officeDocument/2006/relationships/hyperlink" Target="https://www.sec.gov/Archives/edgar/data/1749723/000174972325000029/nfe-firstamendmenttorra.htm" TargetMode="External"/><Relationship Id="rId267" Type="http://schemas.openxmlformats.org/officeDocument/2006/relationships/hyperlink" Target="https://www.sec.gov/Archives/edgar/data/1749723/000174972325000029/nfe-secondamendmenttorra.htm" TargetMode="External"/><Relationship Id="rId268" Type="http://schemas.openxmlformats.org/officeDocument/2006/relationships/hyperlink" Target="https://www.sec.gov/Archives/edgar/data/1749723/000174972326000032/a03projectlady-forbearance.htm" TargetMode="External"/><Relationship Id="rId270" Type="http://schemas.openxmlformats.org/officeDocument/2006/relationships/hyperlink" Target="https://www.sec.gov/Archives/edgar/data/1749723/000174972325000149/nfeformretentionagreementf.htm" TargetMode="External"/><Relationship Id="rId271" Type="http://schemas.openxmlformats.org/officeDocument/2006/relationships/hyperlink" Target="https://www.sec.gov/Archives/edgar/data/1749723/000174972326000007/restructuringsupport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2026-05-14T05:22:53Z</dcterms:created>
  <dcterms:modified xsi:type="dcterms:W3CDTF">2026-05-14T05:22:53Z</dcterms:modified>
</cp:coreProperties>
</file>